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83F38">
      <w:pPr>
        <w:widowControl/>
        <w:jc w:val="left"/>
        <w:rPr>
          <w:rFonts w:ascii="Times New Roman" w:hAnsi="Times New Roman" w:eastAsia="宋体" w:cs="Times New Roman"/>
          <w:color w:val="auto"/>
          <w:sz w:val="24"/>
          <w:highlight w:val="none"/>
        </w:rPr>
      </w:pPr>
    </w:p>
    <w:p w14:paraId="1E82D52D">
      <w:pPr>
        <w:pStyle w:val="2"/>
        <w:rPr>
          <w:color w:val="auto"/>
        </w:rPr>
      </w:pPr>
    </w:p>
    <w:p w14:paraId="1396F398">
      <w:pPr>
        <w:widowControl/>
        <w:jc w:val="center"/>
        <w:rPr>
          <w:rFonts w:hint="eastAsia" w:ascii="Times New Roman" w:hAnsi="Times New Roman" w:eastAsia="宋体" w:cs="Times New Roman"/>
          <w:color w:val="auto"/>
          <w:sz w:val="32"/>
          <w:szCs w:val="32"/>
          <w:highlight w:val="none"/>
          <w:lang w:eastAsia="zh-CN"/>
        </w:rPr>
      </w:pPr>
      <w:r>
        <w:rPr>
          <w:rFonts w:hint="eastAsia" w:ascii="Times New Roman" w:hAnsi="Times New Roman" w:cs="Times New Roman"/>
          <w:b/>
          <w:bCs/>
          <w:color w:val="auto"/>
          <w:sz w:val="44"/>
          <w:szCs w:val="44"/>
          <w:highlight w:val="none"/>
          <w:u w:val="single"/>
        </w:rPr>
        <w:t>深圳安联尚璟府项目软装家具套装采购（2025~2026年度）</w:t>
      </w:r>
    </w:p>
    <w:p w14:paraId="2F04D255">
      <w:pPr>
        <w:spacing w:line="540" w:lineRule="exact"/>
        <w:ind w:firstLine="420"/>
        <w:rPr>
          <w:rFonts w:ascii="Times New Roman" w:hAnsi="Times New Roman" w:cs="Times New Roman"/>
          <w:color w:val="auto"/>
          <w:szCs w:val="21"/>
          <w:highlight w:val="none"/>
        </w:rPr>
      </w:pPr>
    </w:p>
    <w:p w14:paraId="53C3CCBB">
      <w:pPr>
        <w:pStyle w:val="2"/>
        <w:rPr>
          <w:rFonts w:ascii="Times New Roman" w:hAnsi="Times New Roman" w:cs="Times New Roman"/>
          <w:color w:val="auto"/>
          <w:szCs w:val="21"/>
          <w:highlight w:val="none"/>
        </w:rPr>
      </w:pPr>
    </w:p>
    <w:p w14:paraId="05F86468">
      <w:pPr>
        <w:pStyle w:val="2"/>
        <w:rPr>
          <w:rFonts w:ascii="Times New Roman" w:hAnsi="Times New Roman" w:cs="Times New Roman"/>
          <w:color w:val="auto"/>
          <w:szCs w:val="21"/>
          <w:highlight w:val="none"/>
        </w:rPr>
      </w:pPr>
    </w:p>
    <w:p w14:paraId="56D2C7EA">
      <w:pPr>
        <w:pStyle w:val="2"/>
        <w:rPr>
          <w:rFonts w:ascii="Times New Roman" w:hAnsi="Times New Roman" w:cs="Times New Roman"/>
          <w:color w:val="auto"/>
          <w:szCs w:val="21"/>
          <w:highlight w:val="none"/>
        </w:rPr>
      </w:pPr>
    </w:p>
    <w:p w14:paraId="468270E3">
      <w:pPr>
        <w:spacing w:line="540" w:lineRule="exact"/>
        <w:ind w:firstLine="420"/>
        <w:rPr>
          <w:rFonts w:ascii="Times New Roman" w:hAnsi="Times New Roman" w:cs="Times New Roman"/>
          <w:color w:val="auto"/>
          <w:szCs w:val="21"/>
          <w:highlight w:val="none"/>
        </w:rPr>
      </w:pPr>
    </w:p>
    <w:p w14:paraId="7AD9EC3D">
      <w:pPr>
        <w:jc w:val="center"/>
        <w:rPr>
          <w:rFonts w:ascii="Times New Roman" w:hAnsi="Times New Roman" w:eastAsia="黑体" w:cs="Times New Roman"/>
          <w:color w:val="auto"/>
          <w:sz w:val="72"/>
          <w:szCs w:val="72"/>
          <w:highlight w:val="none"/>
        </w:rPr>
      </w:pPr>
      <w:r>
        <w:rPr>
          <w:rFonts w:ascii="Times New Roman" w:hAnsi="Times New Roman" w:eastAsia="黑体" w:cs="Times New Roman"/>
          <w:color w:val="auto"/>
          <w:sz w:val="72"/>
          <w:szCs w:val="72"/>
          <w:highlight w:val="none"/>
        </w:rPr>
        <w:t>询  比  文  件</w:t>
      </w:r>
    </w:p>
    <w:p w14:paraId="6A15AE4E">
      <w:pPr>
        <w:spacing w:line="540" w:lineRule="exact"/>
        <w:ind w:firstLine="420"/>
        <w:rPr>
          <w:rFonts w:ascii="Times New Roman" w:hAnsi="Times New Roman" w:cs="Times New Roman"/>
          <w:color w:val="auto"/>
          <w:szCs w:val="21"/>
          <w:highlight w:val="none"/>
        </w:rPr>
      </w:pPr>
    </w:p>
    <w:p w14:paraId="70B589BC">
      <w:pPr>
        <w:spacing w:line="540" w:lineRule="exact"/>
        <w:ind w:firstLine="420"/>
        <w:rPr>
          <w:rFonts w:ascii="Times New Roman" w:hAnsi="Times New Roman" w:cs="Times New Roman"/>
          <w:color w:val="auto"/>
          <w:szCs w:val="21"/>
          <w:highlight w:val="none"/>
        </w:rPr>
      </w:pPr>
    </w:p>
    <w:p w14:paraId="4A70AF35">
      <w:pPr>
        <w:spacing w:line="540" w:lineRule="exact"/>
        <w:ind w:firstLine="420"/>
        <w:rPr>
          <w:rFonts w:ascii="Times New Roman" w:hAnsi="Times New Roman" w:cs="Times New Roman"/>
          <w:color w:val="auto"/>
          <w:szCs w:val="21"/>
          <w:highlight w:val="none"/>
        </w:rPr>
      </w:pPr>
    </w:p>
    <w:p w14:paraId="0BDB95A0">
      <w:pPr>
        <w:spacing w:line="540" w:lineRule="exact"/>
        <w:ind w:firstLine="420"/>
        <w:rPr>
          <w:rFonts w:ascii="Times New Roman" w:hAnsi="Times New Roman" w:cs="Times New Roman"/>
          <w:color w:val="auto"/>
          <w:szCs w:val="21"/>
          <w:highlight w:val="none"/>
        </w:rPr>
      </w:pPr>
    </w:p>
    <w:p w14:paraId="4F132307">
      <w:pPr>
        <w:spacing w:line="540" w:lineRule="exact"/>
        <w:ind w:firstLine="420"/>
        <w:rPr>
          <w:rFonts w:ascii="Times New Roman" w:hAnsi="Times New Roman" w:cs="Times New Roman"/>
          <w:color w:val="auto"/>
          <w:szCs w:val="21"/>
          <w:highlight w:val="none"/>
        </w:rPr>
      </w:pPr>
    </w:p>
    <w:p w14:paraId="39442B8E">
      <w:pPr>
        <w:spacing w:line="540" w:lineRule="exact"/>
        <w:ind w:firstLine="420"/>
        <w:rPr>
          <w:rFonts w:ascii="Times New Roman" w:hAnsi="Times New Roman" w:cs="Times New Roman"/>
          <w:color w:val="auto"/>
          <w:szCs w:val="21"/>
          <w:highlight w:val="none"/>
        </w:rPr>
      </w:pPr>
    </w:p>
    <w:p w14:paraId="2866E4CE">
      <w:pPr>
        <w:spacing w:line="540" w:lineRule="exact"/>
        <w:ind w:firstLine="420"/>
        <w:rPr>
          <w:rFonts w:ascii="Times New Roman" w:hAnsi="Times New Roman" w:cs="Times New Roman"/>
          <w:color w:val="auto"/>
          <w:szCs w:val="21"/>
          <w:highlight w:val="none"/>
        </w:rPr>
      </w:pPr>
    </w:p>
    <w:p w14:paraId="48007384">
      <w:pPr>
        <w:spacing w:line="540" w:lineRule="exact"/>
        <w:ind w:firstLine="420"/>
        <w:rPr>
          <w:rFonts w:ascii="Times New Roman" w:hAnsi="Times New Roman" w:cs="Times New Roman"/>
          <w:color w:val="auto"/>
          <w:szCs w:val="21"/>
          <w:highlight w:val="none"/>
        </w:rPr>
      </w:pPr>
    </w:p>
    <w:p w14:paraId="72019887">
      <w:pPr>
        <w:spacing w:line="540" w:lineRule="exact"/>
        <w:ind w:firstLine="420"/>
        <w:rPr>
          <w:rFonts w:ascii="Times New Roman" w:hAnsi="Times New Roman" w:cs="Times New Roman"/>
          <w:color w:val="auto"/>
          <w:szCs w:val="21"/>
          <w:highlight w:val="none"/>
        </w:rPr>
      </w:pPr>
    </w:p>
    <w:p w14:paraId="0922F665">
      <w:pPr>
        <w:spacing w:line="540" w:lineRule="exact"/>
        <w:ind w:firstLine="640"/>
        <w:rPr>
          <w:rFonts w:ascii="Times New Roman" w:hAnsi="Times New Roman" w:eastAsia="黑体" w:cs="Times New Roman"/>
          <w:color w:val="auto"/>
          <w:sz w:val="32"/>
          <w:szCs w:val="32"/>
          <w:highlight w:val="none"/>
        </w:rPr>
      </w:pPr>
    </w:p>
    <w:p w14:paraId="6D336D2A">
      <w:pPr>
        <w:spacing w:line="540" w:lineRule="exact"/>
        <w:ind w:left="1896" w:leftChars="903"/>
        <w:rPr>
          <w:rFonts w:ascii="Times New Roman" w:hAnsi="Times New Roman" w:cs="Times New Roman"/>
          <w:color w:val="auto"/>
          <w:szCs w:val="21"/>
          <w:highlight w:val="none"/>
        </w:rPr>
      </w:pPr>
    </w:p>
    <w:p w14:paraId="26918143">
      <w:pPr>
        <w:snapToGrid w:val="0"/>
        <w:ind w:left="1896" w:leftChars="903"/>
        <w:rPr>
          <w:rFonts w:hint="default" w:ascii="Times New Roman" w:hAnsi="Times New Roman" w:eastAsia="黑体" w:cs="Times New Roman"/>
          <w:color w:val="auto"/>
          <w:sz w:val="32"/>
          <w:szCs w:val="32"/>
          <w:highlight w:val="none"/>
          <w:lang w:val="en-US" w:eastAsia="zh-CN"/>
        </w:rPr>
      </w:pPr>
      <w:r>
        <w:rPr>
          <w:rFonts w:ascii="Times New Roman" w:hAnsi="Times New Roman" w:eastAsia="黑体" w:cs="Times New Roman"/>
          <w:color w:val="auto"/>
          <w:sz w:val="32"/>
          <w:szCs w:val="32"/>
          <w:highlight w:val="none"/>
        </w:rPr>
        <w:t>采 购 人：</w:t>
      </w:r>
      <w:r>
        <w:rPr>
          <w:rFonts w:hint="eastAsia" w:ascii="Times New Roman" w:hAnsi="Times New Roman" w:eastAsia="黑体" w:cs="Times New Roman"/>
          <w:color w:val="auto"/>
          <w:sz w:val="32"/>
          <w:szCs w:val="32"/>
          <w:highlight w:val="none"/>
          <w:u w:val="single"/>
          <w:lang w:val="en-US" w:eastAsia="zh-CN"/>
        </w:rPr>
        <w:t>深圳市安之联置业有限公司</w:t>
      </w:r>
    </w:p>
    <w:p w14:paraId="2A0F31FB">
      <w:pPr>
        <w:snapToGrid w:val="0"/>
        <w:ind w:left="1896" w:leftChars="903"/>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 xml:space="preserve"> </w:t>
      </w:r>
    </w:p>
    <w:p w14:paraId="031BF9A6">
      <w:pPr>
        <w:snapToGrid w:val="0"/>
        <w:ind w:left="1896" w:leftChars="903"/>
        <w:rPr>
          <w:rFonts w:ascii="Times New Roman" w:hAnsi="Times New Roman" w:cs="Times New Roman"/>
          <w:color w:val="auto"/>
          <w:sz w:val="32"/>
          <w:szCs w:val="32"/>
          <w:highlight w:val="none"/>
        </w:rPr>
      </w:pPr>
      <w:r>
        <w:rPr>
          <w:rFonts w:ascii="Times New Roman" w:hAnsi="Times New Roman" w:eastAsia="黑体" w:cs="Times New Roman"/>
          <w:color w:val="auto"/>
          <w:sz w:val="32"/>
          <w:szCs w:val="32"/>
          <w:highlight w:val="none"/>
        </w:rPr>
        <w:t>日    期</w:t>
      </w:r>
      <w:r>
        <w:rPr>
          <w:rFonts w:ascii="Times New Roman" w:hAnsi="Times New Roman" w:cs="Times New Roman"/>
          <w:color w:val="auto"/>
          <w:sz w:val="32"/>
          <w:szCs w:val="32"/>
          <w:highlight w:val="none"/>
        </w:rPr>
        <w:t>：</w:t>
      </w:r>
      <w:r>
        <w:rPr>
          <w:rFonts w:hint="eastAsia" w:ascii="Times New Roman" w:hAnsi="Times New Roman" w:eastAsia="黑体" w:cs="Times New Roman"/>
          <w:color w:val="auto"/>
          <w:sz w:val="32"/>
          <w:szCs w:val="32"/>
          <w:highlight w:val="none"/>
          <w:u w:val="single"/>
          <w:lang w:val="en-US" w:eastAsia="zh-CN"/>
        </w:rPr>
        <w:t>2025</w:t>
      </w:r>
      <w:r>
        <w:rPr>
          <w:rFonts w:ascii="Times New Roman" w:hAnsi="Times New Roman" w:cs="Times New Roman"/>
          <w:color w:val="auto"/>
          <w:sz w:val="32"/>
          <w:szCs w:val="32"/>
          <w:highlight w:val="none"/>
        </w:rPr>
        <w:t>年</w:t>
      </w:r>
      <w:r>
        <w:rPr>
          <w:rFonts w:hint="eastAsia" w:ascii="Times New Roman" w:hAnsi="Times New Roman" w:cs="Times New Roman"/>
          <w:color w:val="auto"/>
          <w:sz w:val="32"/>
          <w:szCs w:val="32"/>
          <w:highlight w:val="none"/>
          <w:u w:val="single"/>
          <w:lang w:val="en-US" w:eastAsia="zh-CN"/>
        </w:rPr>
        <w:t xml:space="preserve"> 11</w:t>
      </w:r>
      <w:r>
        <w:rPr>
          <w:rFonts w:hint="eastAsia" w:ascii="Times New Roman" w:hAnsi="Times New Roman" w:eastAsia="黑体" w:cs="Times New Roman"/>
          <w:color w:val="auto"/>
          <w:sz w:val="32"/>
          <w:szCs w:val="32"/>
          <w:highlight w:val="none"/>
          <w:u w:val="single"/>
          <w:lang w:val="en-US" w:eastAsia="zh-CN"/>
        </w:rPr>
        <w:t xml:space="preserve"> </w:t>
      </w:r>
      <w:r>
        <w:rPr>
          <w:rFonts w:ascii="Times New Roman" w:hAnsi="Times New Roman" w:cs="Times New Roman"/>
          <w:color w:val="auto"/>
          <w:sz w:val="32"/>
          <w:szCs w:val="32"/>
          <w:highlight w:val="none"/>
        </w:rPr>
        <w:t>月</w:t>
      </w:r>
      <w:r>
        <w:rPr>
          <w:rFonts w:ascii="Times New Roman" w:hAnsi="Times New Roman" w:eastAsia="黑体" w:cs="Times New Roman"/>
          <w:color w:val="auto"/>
          <w:sz w:val="32"/>
          <w:szCs w:val="32"/>
          <w:highlight w:val="none"/>
          <w:u w:val="single"/>
        </w:rPr>
        <w:t xml:space="preserve"> </w:t>
      </w:r>
      <w:r>
        <w:rPr>
          <w:rFonts w:hint="eastAsia" w:ascii="Times New Roman" w:hAnsi="Times New Roman" w:eastAsia="黑体" w:cs="Times New Roman"/>
          <w:color w:val="auto"/>
          <w:sz w:val="32"/>
          <w:szCs w:val="32"/>
          <w:highlight w:val="none"/>
          <w:u w:val="single"/>
          <w:lang w:val="en-US" w:eastAsia="zh-CN"/>
        </w:rPr>
        <w:t>25</w:t>
      </w:r>
      <w:r>
        <w:rPr>
          <w:rFonts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日</w:t>
      </w:r>
    </w:p>
    <w:p w14:paraId="0BAF3376">
      <w:pPr>
        <w:ind w:left="1896" w:leftChars="903"/>
        <w:rPr>
          <w:rFonts w:ascii="Times New Roman" w:hAnsi="Times New Roman" w:eastAsia="宋体" w:cs="Times New Roman"/>
          <w:color w:val="auto"/>
          <w:sz w:val="24"/>
          <w:highlight w:val="none"/>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32"/>
          <w:szCs w:val="40"/>
          <w:lang w:val="en-US" w:eastAsia="zh-CN" w:bidi="ar-SA"/>
        </w:rPr>
        <w:id w:val="147468830"/>
        <w15:color w:val="DBDBDB"/>
        <w:docPartObj>
          <w:docPartGallery w:val="Table of Contents"/>
          <w:docPartUnique/>
        </w:docPartObj>
      </w:sdtPr>
      <w:sdtEndPr>
        <w:rPr>
          <w:rFonts w:ascii="宋体" w:hAnsi="宋体" w:eastAsia="宋体" w:cstheme="minorBidi"/>
          <w:color w:val="auto"/>
          <w:kern w:val="2"/>
          <w:sz w:val="21"/>
          <w:szCs w:val="24"/>
          <w:highlight w:val="none"/>
          <w:lang w:val="en-US" w:eastAsia="zh-CN" w:bidi="ar-SA"/>
        </w:rPr>
      </w:sdtEndPr>
      <w:sdtContent>
        <w:p w14:paraId="6E6C152E">
          <w:pPr>
            <w:spacing w:before="0" w:beforeLines="0" w:after="0" w:afterLines="0" w:line="240" w:lineRule="auto"/>
            <w:ind w:left="0" w:leftChars="0" w:right="0" w:rightChars="0" w:firstLine="0" w:firstLineChars="0"/>
            <w:jc w:val="center"/>
            <w:rPr>
              <w:sz w:val="32"/>
              <w:szCs w:val="40"/>
            </w:rPr>
          </w:pPr>
          <w:bookmarkStart w:id="315" w:name="_GoBack"/>
          <w:r>
            <w:rPr>
              <w:rFonts w:ascii="宋体" w:hAnsi="宋体" w:eastAsia="宋体"/>
              <w:sz w:val="32"/>
              <w:szCs w:val="40"/>
            </w:rPr>
            <w:t>目录</w:t>
          </w:r>
        </w:p>
        <w:p w14:paraId="07D09D39">
          <w:pPr>
            <w:pStyle w:val="16"/>
            <w:tabs>
              <w:tab w:val="right" w:leader="dot" w:pos="8312"/>
            </w:tabs>
            <w:rPr>
              <w:sz w:val="28"/>
              <w:szCs w:val="28"/>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TOC \o "1-3" \h \u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fldChar w:fldCharType="begin"/>
          </w:r>
          <w:r>
            <w:rPr>
              <w:rFonts w:ascii="宋体" w:hAnsi="宋体" w:eastAsia="宋体"/>
              <w:sz w:val="28"/>
              <w:szCs w:val="28"/>
              <w:highlight w:val="none"/>
            </w:rPr>
            <w:instrText xml:space="preserve"> HYPERLINK \l _Toc32631 </w:instrText>
          </w:r>
          <w:r>
            <w:rPr>
              <w:rFonts w:ascii="宋体" w:hAnsi="宋体" w:eastAsia="宋体"/>
              <w:sz w:val="28"/>
              <w:szCs w:val="28"/>
              <w:highlight w:val="none"/>
            </w:rPr>
            <w:fldChar w:fldCharType="separate"/>
          </w:r>
          <w:r>
            <w:rPr>
              <w:rFonts w:hint="eastAsia" w:ascii="Times New Roman" w:hAnsi="Times New Roman" w:eastAsia="宋体" w:cs="Times New Roman"/>
              <w:sz w:val="28"/>
              <w:szCs w:val="28"/>
            </w:rPr>
            <w:t xml:space="preserve">第一章 </w:t>
          </w:r>
          <w:r>
            <w:rPr>
              <w:rFonts w:ascii="Times New Roman" w:hAnsi="Times New Roman" w:eastAsia="宋体" w:cs="Times New Roman"/>
              <w:sz w:val="28"/>
              <w:szCs w:val="28"/>
              <w:highlight w:val="none"/>
            </w:rPr>
            <w:t>采购公告</w:t>
          </w:r>
          <w:r>
            <w:rPr>
              <w:sz w:val="28"/>
              <w:szCs w:val="28"/>
            </w:rPr>
            <w:tab/>
          </w:r>
          <w:r>
            <w:rPr>
              <w:sz w:val="28"/>
              <w:szCs w:val="28"/>
            </w:rPr>
            <w:fldChar w:fldCharType="begin"/>
          </w:r>
          <w:r>
            <w:rPr>
              <w:sz w:val="28"/>
              <w:szCs w:val="28"/>
            </w:rPr>
            <w:instrText xml:space="preserve"> PAGEREF _Toc32631 \h </w:instrText>
          </w:r>
          <w:r>
            <w:rPr>
              <w:sz w:val="28"/>
              <w:szCs w:val="28"/>
            </w:rPr>
            <w:fldChar w:fldCharType="separate"/>
          </w:r>
          <w:r>
            <w:rPr>
              <w:sz w:val="28"/>
              <w:szCs w:val="28"/>
            </w:rPr>
            <w:t>1</w:t>
          </w:r>
          <w:r>
            <w:rPr>
              <w:sz w:val="28"/>
              <w:szCs w:val="28"/>
            </w:rPr>
            <w:fldChar w:fldCharType="end"/>
          </w:r>
          <w:r>
            <w:rPr>
              <w:rFonts w:ascii="宋体" w:hAnsi="宋体" w:eastAsia="宋体"/>
              <w:color w:val="auto"/>
              <w:sz w:val="28"/>
              <w:szCs w:val="28"/>
              <w:highlight w:val="none"/>
            </w:rPr>
            <w:fldChar w:fldCharType="end"/>
          </w:r>
        </w:p>
        <w:p w14:paraId="0746B303">
          <w:pPr>
            <w:pStyle w:val="16"/>
            <w:tabs>
              <w:tab w:val="right" w:leader="dot" w:pos="8312"/>
            </w:tabs>
            <w:rPr>
              <w:sz w:val="28"/>
              <w:szCs w:val="28"/>
            </w:rPr>
          </w:pPr>
          <w:r>
            <w:rPr>
              <w:rFonts w:ascii="宋体" w:hAnsi="宋体" w:eastAsia="宋体"/>
              <w:color w:val="auto"/>
              <w:sz w:val="28"/>
              <w:szCs w:val="28"/>
              <w:highlight w:val="none"/>
            </w:rPr>
            <w:fldChar w:fldCharType="begin"/>
          </w:r>
          <w:r>
            <w:rPr>
              <w:rFonts w:ascii="宋体" w:hAnsi="宋体" w:eastAsia="宋体"/>
              <w:sz w:val="28"/>
              <w:szCs w:val="28"/>
              <w:highlight w:val="none"/>
            </w:rPr>
            <w:instrText xml:space="preserve"> HYPERLINK \l _Toc27745 </w:instrText>
          </w:r>
          <w:r>
            <w:rPr>
              <w:rFonts w:ascii="宋体" w:hAnsi="宋体" w:eastAsia="宋体"/>
              <w:sz w:val="28"/>
              <w:szCs w:val="28"/>
              <w:highlight w:val="none"/>
            </w:rPr>
            <w:fldChar w:fldCharType="separate"/>
          </w:r>
          <w:r>
            <w:rPr>
              <w:rFonts w:hint="eastAsia" w:ascii="Times New Roman" w:hAnsi="Times New Roman" w:eastAsia="宋体" w:cs="Times New Roman"/>
              <w:sz w:val="28"/>
              <w:szCs w:val="28"/>
              <w:highlight w:val="none"/>
              <w:lang w:val="en-US" w:eastAsia="zh-CN"/>
            </w:rPr>
            <w:t xml:space="preserve">第二章 </w:t>
          </w:r>
          <w:r>
            <w:rPr>
              <w:rFonts w:ascii="Times New Roman" w:hAnsi="Times New Roman" w:eastAsia="宋体" w:cs="Times New Roman"/>
              <w:sz w:val="28"/>
              <w:szCs w:val="28"/>
              <w:highlight w:val="none"/>
            </w:rPr>
            <w:t>供应商须知</w:t>
          </w:r>
          <w:r>
            <w:rPr>
              <w:sz w:val="28"/>
              <w:szCs w:val="28"/>
            </w:rPr>
            <w:tab/>
          </w:r>
          <w:r>
            <w:rPr>
              <w:sz w:val="28"/>
              <w:szCs w:val="28"/>
            </w:rPr>
            <w:fldChar w:fldCharType="begin"/>
          </w:r>
          <w:r>
            <w:rPr>
              <w:sz w:val="28"/>
              <w:szCs w:val="28"/>
            </w:rPr>
            <w:instrText xml:space="preserve"> PAGEREF _Toc27745 \h </w:instrText>
          </w:r>
          <w:r>
            <w:rPr>
              <w:sz w:val="28"/>
              <w:szCs w:val="28"/>
            </w:rPr>
            <w:fldChar w:fldCharType="separate"/>
          </w:r>
          <w:r>
            <w:rPr>
              <w:sz w:val="28"/>
              <w:szCs w:val="28"/>
            </w:rPr>
            <w:t>5</w:t>
          </w:r>
          <w:r>
            <w:rPr>
              <w:sz w:val="28"/>
              <w:szCs w:val="28"/>
            </w:rPr>
            <w:fldChar w:fldCharType="end"/>
          </w:r>
          <w:r>
            <w:rPr>
              <w:rFonts w:ascii="宋体" w:hAnsi="宋体" w:eastAsia="宋体"/>
              <w:color w:val="auto"/>
              <w:sz w:val="28"/>
              <w:szCs w:val="28"/>
              <w:highlight w:val="none"/>
            </w:rPr>
            <w:fldChar w:fldCharType="end"/>
          </w:r>
        </w:p>
        <w:p w14:paraId="2FEDEA8F">
          <w:pPr>
            <w:pStyle w:val="16"/>
            <w:tabs>
              <w:tab w:val="right" w:leader="dot" w:pos="8312"/>
            </w:tabs>
            <w:rPr>
              <w:sz w:val="28"/>
              <w:szCs w:val="28"/>
            </w:rPr>
          </w:pPr>
          <w:r>
            <w:rPr>
              <w:rFonts w:ascii="宋体" w:hAnsi="宋体" w:eastAsia="宋体"/>
              <w:color w:val="auto"/>
              <w:sz w:val="28"/>
              <w:szCs w:val="28"/>
              <w:highlight w:val="none"/>
            </w:rPr>
            <w:fldChar w:fldCharType="begin"/>
          </w:r>
          <w:r>
            <w:rPr>
              <w:rFonts w:ascii="宋体" w:hAnsi="宋体" w:eastAsia="宋体"/>
              <w:sz w:val="28"/>
              <w:szCs w:val="28"/>
              <w:highlight w:val="none"/>
            </w:rPr>
            <w:instrText xml:space="preserve"> HYPERLINK \l _Toc7697 </w:instrText>
          </w:r>
          <w:r>
            <w:rPr>
              <w:rFonts w:ascii="宋体" w:hAnsi="宋体" w:eastAsia="宋体"/>
              <w:sz w:val="28"/>
              <w:szCs w:val="28"/>
              <w:highlight w:val="none"/>
            </w:rPr>
            <w:fldChar w:fldCharType="separate"/>
          </w:r>
          <w:r>
            <w:rPr>
              <w:rFonts w:hint="eastAsia" w:ascii="Times New Roman" w:hAnsi="Times New Roman" w:eastAsia="宋体" w:cs="Times New Roman"/>
              <w:sz w:val="28"/>
              <w:szCs w:val="28"/>
              <w:highlight w:val="none"/>
              <w:lang w:val="en-US" w:eastAsia="zh-CN"/>
            </w:rPr>
            <w:t xml:space="preserve">第三章 </w:t>
          </w:r>
          <w:r>
            <w:rPr>
              <w:rFonts w:ascii="Times New Roman" w:hAnsi="Times New Roman" w:eastAsia="宋体" w:cs="Times New Roman"/>
              <w:sz w:val="28"/>
              <w:szCs w:val="28"/>
              <w:highlight w:val="none"/>
            </w:rPr>
            <w:t>评审办法</w:t>
          </w:r>
          <w:r>
            <w:rPr>
              <w:sz w:val="28"/>
              <w:szCs w:val="28"/>
            </w:rPr>
            <w:tab/>
          </w:r>
          <w:r>
            <w:rPr>
              <w:sz w:val="28"/>
              <w:szCs w:val="28"/>
            </w:rPr>
            <w:fldChar w:fldCharType="begin"/>
          </w:r>
          <w:r>
            <w:rPr>
              <w:sz w:val="28"/>
              <w:szCs w:val="28"/>
            </w:rPr>
            <w:instrText xml:space="preserve"> PAGEREF _Toc7697 \h </w:instrText>
          </w:r>
          <w:r>
            <w:rPr>
              <w:sz w:val="28"/>
              <w:szCs w:val="28"/>
            </w:rPr>
            <w:fldChar w:fldCharType="separate"/>
          </w:r>
          <w:r>
            <w:rPr>
              <w:sz w:val="28"/>
              <w:szCs w:val="28"/>
            </w:rPr>
            <w:t>12</w:t>
          </w:r>
          <w:r>
            <w:rPr>
              <w:sz w:val="28"/>
              <w:szCs w:val="28"/>
            </w:rPr>
            <w:fldChar w:fldCharType="end"/>
          </w:r>
          <w:r>
            <w:rPr>
              <w:rFonts w:ascii="宋体" w:hAnsi="宋体" w:eastAsia="宋体"/>
              <w:color w:val="auto"/>
              <w:sz w:val="28"/>
              <w:szCs w:val="28"/>
              <w:highlight w:val="none"/>
            </w:rPr>
            <w:fldChar w:fldCharType="end"/>
          </w:r>
        </w:p>
        <w:p w14:paraId="11783058">
          <w:pPr>
            <w:pStyle w:val="16"/>
            <w:tabs>
              <w:tab w:val="right" w:leader="dot" w:pos="8312"/>
            </w:tabs>
            <w:rPr>
              <w:sz w:val="28"/>
              <w:szCs w:val="28"/>
            </w:rPr>
          </w:pPr>
          <w:r>
            <w:rPr>
              <w:rFonts w:ascii="宋体" w:hAnsi="宋体" w:eastAsia="宋体"/>
              <w:color w:val="auto"/>
              <w:sz w:val="28"/>
              <w:szCs w:val="28"/>
              <w:highlight w:val="none"/>
            </w:rPr>
            <w:fldChar w:fldCharType="begin"/>
          </w:r>
          <w:r>
            <w:rPr>
              <w:rFonts w:ascii="宋体" w:hAnsi="宋体" w:eastAsia="宋体"/>
              <w:sz w:val="28"/>
              <w:szCs w:val="28"/>
              <w:highlight w:val="none"/>
            </w:rPr>
            <w:instrText xml:space="preserve"> HYPERLINK \l _Toc8032 </w:instrText>
          </w:r>
          <w:r>
            <w:rPr>
              <w:rFonts w:ascii="宋体" w:hAnsi="宋体" w:eastAsia="宋体"/>
              <w:sz w:val="28"/>
              <w:szCs w:val="28"/>
              <w:highlight w:val="none"/>
            </w:rPr>
            <w:fldChar w:fldCharType="separate"/>
          </w:r>
          <w:r>
            <w:rPr>
              <w:rFonts w:hint="eastAsia" w:ascii="Times New Roman" w:hAnsi="Times New Roman" w:eastAsia="宋体" w:cs="Times New Roman"/>
              <w:sz w:val="28"/>
              <w:szCs w:val="28"/>
              <w:highlight w:val="none"/>
              <w:lang w:val="en-US" w:eastAsia="zh-CN"/>
            </w:rPr>
            <w:t xml:space="preserve">第四章 </w:t>
          </w:r>
          <w:r>
            <w:rPr>
              <w:rFonts w:ascii="Times New Roman" w:hAnsi="Times New Roman" w:eastAsia="宋体" w:cs="Times New Roman"/>
              <w:sz w:val="28"/>
              <w:szCs w:val="28"/>
              <w:highlight w:val="none"/>
            </w:rPr>
            <w:t>合同内容</w:t>
          </w:r>
          <w:r>
            <w:rPr>
              <w:sz w:val="28"/>
              <w:szCs w:val="28"/>
            </w:rPr>
            <w:tab/>
          </w:r>
          <w:r>
            <w:rPr>
              <w:sz w:val="28"/>
              <w:szCs w:val="28"/>
            </w:rPr>
            <w:fldChar w:fldCharType="begin"/>
          </w:r>
          <w:r>
            <w:rPr>
              <w:sz w:val="28"/>
              <w:szCs w:val="28"/>
            </w:rPr>
            <w:instrText xml:space="preserve"> PAGEREF _Toc8032 \h </w:instrText>
          </w:r>
          <w:r>
            <w:rPr>
              <w:sz w:val="28"/>
              <w:szCs w:val="28"/>
            </w:rPr>
            <w:fldChar w:fldCharType="separate"/>
          </w:r>
          <w:r>
            <w:rPr>
              <w:sz w:val="28"/>
              <w:szCs w:val="28"/>
            </w:rPr>
            <w:t>19</w:t>
          </w:r>
          <w:r>
            <w:rPr>
              <w:sz w:val="28"/>
              <w:szCs w:val="28"/>
            </w:rPr>
            <w:fldChar w:fldCharType="end"/>
          </w:r>
          <w:r>
            <w:rPr>
              <w:rFonts w:ascii="宋体" w:hAnsi="宋体" w:eastAsia="宋体"/>
              <w:color w:val="auto"/>
              <w:sz w:val="28"/>
              <w:szCs w:val="28"/>
              <w:highlight w:val="none"/>
            </w:rPr>
            <w:fldChar w:fldCharType="end"/>
          </w:r>
        </w:p>
        <w:p w14:paraId="16075EA9">
          <w:pPr>
            <w:pStyle w:val="16"/>
            <w:tabs>
              <w:tab w:val="right" w:leader="dot" w:pos="8312"/>
            </w:tabs>
            <w:rPr>
              <w:sz w:val="28"/>
              <w:szCs w:val="28"/>
            </w:rPr>
          </w:pPr>
          <w:r>
            <w:rPr>
              <w:rFonts w:ascii="宋体" w:hAnsi="宋体" w:eastAsia="宋体"/>
              <w:color w:val="auto"/>
              <w:sz w:val="28"/>
              <w:szCs w:val="28"/>
              <w:highlight w:val="none"/>
            </w:rPr>
            <w:fldChar w:fldCharType="begin"/>
          </w:r>
          <w:r>
            <w:rPr>
              <w:rFonts w:ascii="宋体" w:hAnsi="宋体" w:eastAsia="宋体"/>
              <w:sz w:val="28"/>
              <w:szCs w:val="28"/>
              <w:highlight w:val="none"/>
            </w:rPr>
            <w:instrText xml:space="preserve"> HYPERLINK \l _Toc5750 </w:instrText>
          </w:r>
          <w:r>
            <w:rPr>
              <w:rFonts w:ascii="宋体" w:hAnsi="宋体" w:eastAsia="宋体"/>
              <w:sz w:val="28"/>
              <w:szCs w:val="28"/>
              <w:highlight w:val="none"/>
            </w:rPr>
            <w:fldChar w:fldCharType="separate"/>
          </w:r>
          <w:r>
            <w:rPr>
              <w:rFonts w:hint="eastAsia" w:ascii="Times New Roman" w:hAnsi="Times New Roman" w:eastAsia="宋体" w:cs="Times New Roman"/>
              <w:bCs/>
              <w:sz w:val="28"/>
              <w:szCs w:val="28"/>
              <w:highlight w:val="none"/>
              <w:lang w:val="en-US" w:eastAsia="zh-CN"/>
            </w:rPr>
            <w:t>第五章  采购需求及清单</w:t>
          </w:r>
          <w:r>
            <w:rPr>
              <w:sz w:val="28"/>
              <w:szCs w:val="28"/>
            </w:rPr>
            <w:tab/>
          </w:r>
          <w:r>
            <w:rPr>
              <w:sz w:val="28"/>
              <w:szCs w:val="28"/>
            </w:rPr>
            <w:fldChar w:fldCharType="begin"/>
          </w:r>
          <w:r>
            <w:rPr>
              <w:sz w:val="28"/>
              <w:szCs w:val="28"/>
            </w:rPr>
            <w:instrText xml:space="preserve"> PAGEREF _Toc5750 \h </w:instrText>
          </w:r>
          <w:r>
            <w:rPr>
              <w:sz w:val="28"/>
              <w:szCs w:val="28"/>
            </w:rPr>
            <w:fldChar w:fldCharType="separate"/>
          </w:r>
          <w:r>
            <w:rPr>
              <w:sz w:val="28"/>
              <w:szCs w:val="28"/>
            </w:rPr>
            <w:t>60</w:t>
          </w:r>
          <w:r>
            <w:rPr>
              <w:sz w:val="28"/>
              <w:szCs w:val="28"/>
            </w:rPr>
            <w:fldChar w:fldCharType="end"/>
          </w:r>
          <w:r>
            <w:rPr>
              <w:rFonts w:ascii="宋体" w:hAnsi="宋体" w:eastAsia="宋体"/>
              <w:color w:val="auto"/>
              <w:sz w:val="28"/>
              <w:szCs w:val="28"/>
              <w:highlight w:val="none"/>
            </w:rPr>
            <w:fldChar w:fldCharType="end"/>
          </w:r>
        </w:p>
        <w:p w14:paraId="60BE87BA">
          <w:pPr>
            <w:pStyle w:val="16"/>
            <w:tabs>
              <w:tab w:val="right" w:leader="dot" w:pos="8312"/>
            </w:tabs>
            <w:rPr>
              <w:sz w:val="28"/>
              <w:szCs w:val="28"/>
            </w:rPr>
          </w:pPr>
          <w:r>
            <w:rPr>
              <w:rFonts w:ascii="宋体" w:hAnsi="宋体" w:eastAsia="宋体"/>
              <w:color w:val="auto"/>
              <w:sz w:val="28"/>
              <w:szCs w:val="28"/>
              <w:highlight w:val="none"/>
            </w:rPr>
            <w:fldChar w:fldCharType="begin"/>
          </w:r>
          <w:r>
            <w:rPr>
              <w:rFonts w:ascii="宋体" w:hAnsi="宋体" w:eastAsia="宋体"/>
              <w:sz w:val="28"/>
              <w:szCs w:val="28"/>
              <w:highlight w:val="none"/>
            </w:rPr>
            <w:instrText xml:space="preserve"> HYPERLINK \l _Toc31120 </w:instrText>
          </w:r>
          <w:r>
            <w:rPr>
              <w:rFonts w:ascii="宋体" w:hAnsi="宋体" w:eastAsia="宋体"/>
              <w:sz w:val="28"/>
              <w:szCs w:val="28"/>
              <w:highlight w:val="none"/>
            </w:rPr>
            <w:fldChar w:fldCharType="separate"/>
          </w:r>
          <w:r>
            <w:rPr>
              <w:rFonts w:hint="eastAsia" w:ascii="Times New Roman" w:hAnsi="Times New Roman" w:eastAsia="宋体" w:cs="Times New Roman"/>
              <w:sz w:val="28"/>
              <w:szCs w:val="28"/>
              <w:highlight w:val="none"/>
              <w:lang w:val="en-US" w:eastAsia="zh-CN"/>
            </w:rPr>
            <w:t xml:space="preserve">第六章 </w:t>
          </w:r>
          <w:r>
            <w:rPr>
              <w:rFonts w:ascii="Times New Roman" w:hAnsi="Times New Roman" w:eastAsia="宋体" w:cs="Times New Roman"/>
              <w:sz w:val="28"/>
              <w:szCs w:val="28"/>
              <w:highlight w:val="none"/>
            </w:rPr>
            <w:t>响应文件格式</w:t>
          </w:r>
          <w:r>
            <w:rPr>
              <w:sz w:val="28"/>
              <w:szCs w:val="28"/>
            </w:rPr>
            <w:tab/>
          </w:r>
          <w:r>
            <w:rPr>
              <w:sz w:val="28"/>
              <w:szCs w:val="28"/>
            </w:rPr>
            <w:fldChar w:fldCharType="begin"/>
          </w:r>
          <w:r>
            <w:rPr>
              <w:sz w:val="28"/>
              <w:szCs w:val="28"/>
            </w:rPr>
            <w:instrText xml:space="preserve"> PAGEREF _Toc31120 \h </w:instrText>
          </w:r>
          <w:r>
            <w:rPr>
              <w:sz w:val="28"/>
              <w:szCs w:val="28"/>
            </w:rPr>
            <w:fldChar w:fldCharType="separate"/>
          </w:r>
          <w:r>
            <w:rPr>
              <w:sz w:val="28"/>
              <w:szCs w:val="28"/>
            </w:rPr>
            <w:t>64</w:t>
          </w:r>
          <w:r>
            <w:rPr>
              <w:sz w:val="28"/>
              <w:szCs w:val="28"/>
            </w:rPr>
            <w:fldChar w:fldCharType="end"/>
          </w:r>
          <w:r>
            <w:rPr>
              <w:rFonts w:ascii="宋体" w:hAnsi="宋体" w:eastAsia="宋体"/>
              <w:color w:val="auto"/>
              <w:sz w:val="28"/>
              <w:szCs w:val="28"/>
              <w:highlight w:val="none"/>
            </w:rPr>
            <w:fldChar w:fldCharType="end"/>
          </w:r>
        </w:p>
        <w:p w14:paraId="0A0B66A8">
          <w:pPr>
            <w:jc w:val="center"/>
            <w:rPr>
              <w:rFonts w:ascii="宋体" w:hAnsi="宋体" w:eastAsia="宋体" w:cstheme="minorBidi"/>
              <w:color w:val="auto"/>
              <w:kern w:val="2"/>
              <w:sz w:val="21"/>
              <w:szCs w:val="24"/>
              <w:highlight w:val="none"/>
              <w:lang w:val="en-US" w:eastAsia="zh-CN" w:bidi="ar-SA"/>
            </w:rPr>
          </w:pPr>
          <w:r>
            <w:rPr>
              <w:rFonts w:ascii="宋体" w:hAnsi="宋体" w:eastAsia="宋体"/>
              <w:color w:val="auto"/>
              <w:sz w:val="32"/>
              <w:szCs w:val="40"/>
              <w:highlight w:val="none"/>
            </w:rPr>
            <w:fldChar w:fldCharType="end"/>
          </w:r>
          <w:bookmarkEnd w:id="315"/>
        </w:p>
      </w:sdtContent>
    </w:sdt>
    <w:p w14:paraId="65C6E2C1">
      <w:pPr>
        <w:pStyle w:val="2"/>
      </w:pPr>
    </w:p>
    <w:p w14:paraId="5A2BB48F">
      <w:pPr>
        <w:jc w:val="center"/>
        <w:rPr>
          <w:rFonts w:ascii="宋体" w:hAnsi="宋体" w:eastAsia="宋体"/>
          <w:color w:val="auto"/>
          <w:highlight w:val="none"/>
        </w:rPr>
      </w:pPr>
    </w:p>
    <w:p w14:paraId="05815FAE">
      <w:pPr>
        <w:jc w:val="center"/>
        <w:rPr>
          <w:rFonts w:ascii="宋体" w:hAnsi="宋体" w:eastAsia="宋体"/>
          <w:color w:val="auto"/>
          <w:highlight w:val="none"/>
        </w:rPr>
      </w:pPr>
    </w:p>
    <w:p w14:paraId="23FA1188">
      <w:pPr>
        <w:jc w:val="center"/>
        <w:rPr>
          <w:rFonts w:ascii="宋体" w:hAnsi="宋体" w:eastAsia="宋体"/>
          <w:color w:val="auto"/>
          <w:highlight w:val="none"/>
        </w:rPr>
      </w:pPr>
    </w:p>
    <w:p w14:paraId="3120051C">
      <w:pPr>
        <w:pStyle w:val="3"/>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14:paraId="14FCC8E5">
      <w:pPr>
        <w:pStyle w:val="3"/>
        <w:spacing w:before="312" w:after="312"/>
        <w:rPr>
          <w:rFonts w:ascii="Times New Roman" w:hAnsi="Times New Roman" w:eastAsia="宋体" w:cs="Times New Roman"/>
          <w:color w:val="auto"/>
          <w:highlight w:val="none"/>
        </w:rPr>
      </w:pPr>
      <w:bookmarkStart w:id="0" w:name="_Toc32631"/>
      <w:r>
        <w:rPr>
          <w:rFonts w:ascii="Times New Roman" w:hAnsi="Times New Roman" w:eastAsia="宋体" w:cs="Times New Roman"/>
          <w:color w:val="auto"/>
          <w:highlight w:val="none"/>
        </w:rPr>
        <w:t>采购公告</w:t>
      </w:r>
      <w:bookmarkEnd w:id="0"/>
    </w:p>
    <w:p w14:paraId="2A27F171">
      <w:pPr>
        <w:pStyle w:val="4"/>
        <w:snapToGrid w:val="0"/>
        <w:spacing w:before="120" w:after="120" w:line="240" w:lineRule="auto"/>
        <w:ind w:firstLine="403"/>
        <w:rPr>
          <w:rFonts w:hint="eastAsia" w:ascii="Times New Roman" w:hAnsi="Times New Roman" w:cs="Times New Roman" w:eastAsiaTheme="minorEastAsia"/>
          <w:b w:val="0"/>
          <w:bCs w:val="0"/>
          <w:color w:val="auto"/>
          <w:kern w:val="2"/>
          <w:sz w:val="21"/>
          <w:szCs w:val="22"/>
          <w:highlight w:val="none"/>
          <w:u w:val="single"/>
          <w:lang w:val="en-US" w:eastAsia="zh-CN" w:bidi="ar-SA"/>
        </w:rPr>
      </w:pPr>
      <w:bookmarkStart w:id="1" w:name="_Toc4489_WPSOffice_Level2"/>
      <w:bookmarkStart w:id="2" w:name="_Toc24354_WPSOffice_Level2"/>
      <w:bookmarkStart w:id="3" w:name="_Toc12765"/>
      <w:bookmarkStart w:id="4" w:name="_Toc10395_WPSOffice_Level2"/>
      <w:bookmarkStart w:id="5" w:name="_Toc13871"/>
      <w:bookmarkStart w:id="6" w:name="_Toc525632585"/>
      <w:bookmarkStart w:id="7" w:name="_Toc6496_WPSOffice_Level2"/>
      <w:bookmarkStart w:id="8" w:name="_Toc18164"/>
      <w:r>
        <w:rPr>
          <w:rFonts w:ascii="Times New Roman" w:hAnsi="Times New Roman" w:eastAsia="黑体" w:cs="Times New Roman"/>
          <w:bCs w:val="0"/>
          <w:color w:val="auto"/>
          <w:sz w:val="22"/>
          <w:szCs w:val="15"/>
          <w:highlight w:val="none"/>
        </w:rPr>
        <w:t>项目简介</w:t>
      </w:r>
      <w:bookmarkEnd w:id="1"/>
      <w:bookmarkEnd w:id="2"/>
      <w:bookmarkEnd w:id="3"/>
      <w:bookmarkEnd w:id="4"/>
      <w:bookmarkEnd w:id="5"/>
      <w:bookmarkEnd w:id="6"/>
      <w:bookmarkEnd w:id="7"/>
      <w:bookmarkEnd w:id="8"/>
    </w:p>
    <w:p w14:paraId="0B9EA74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color w:val="auto"/>
          <w:kern w:val="2"/>
          <w:sz w:val="21"/>
          <w:szCs w:val="22"/>
          <w:highlight w:val="none"/>
          <w:u w:val="none"/>
          <w:lang w:val="en-US" w:eastAsia="zh-CN" w:bidi="ar-SA"/>
        </w:rPr>
      </w:pPr>
      <w:r>
        <w:rPr>
          <w:rFonts w:hint="eastAsia" w:ascii="Times New Roman" w:hAnsi="Times New Roman" w:cs="Times New Roman"/>
          <w:color w:val="auto"/>
          <w:kern w:val="2"/>
          <w:sz w:val="21"/>
          <w:szCs w:val="22"/>
          <w:highlight w:val="none"/>
          <w:u w:val="none"/>
          <w:lang w:val="en-US" w:eastAsia="zh-CN" w:bidi="ar-SA"/>
        </w:rPr>
        <w:t>1.1 项目名称：深圳安联尚璟府项目软装家具套装采购（2025~2026年度）</w:t>
      </w:r>
    </w:p>
    <w:p w14:paraId="4229436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color w:val="auto"/>
          <w:kern w:val="2"/>
          <w:sz w:val="21"/>
          <w:szCs w:val="22"/>
          <w:highlight w:val="none"/>
          <w:u w:val="none"/>
          <w:lang w:val="en-US" w:eastAsia="zh-CN" w:bidi="ar-SA"/>
        </w:rPr>
      </w:pPr>
      <w:r>
        <w:rPr>
          <w:rFonts w:hint="eastAsia" w:ascii="Times New Roman" w:hAnsi="Times New Roman" w:cs="Times New Roman"/>
          <w:color w:val="auto"/>
          <w:kern w:val="2"/>
          <w:sz w:val="21"/>
          <w:szCs w:val="22"/>
          <w:highlight w:val="none"/>
          <w:u w:val="none"/>
          <w:lang w:val="en-US" w:eastAsia="zh-CN" w:bidi="ar-SA"/>
        </w:rPr>
        <w:t>1.2 采 购 人：深圳市安之联置业有限公司</w:t>
      </w:r>
    </w:p>
    <w:p w14:paraId="7A6C5CC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color w:val="auto"/>
          <w:kern w:val="2"/>
          <w:sz w:val="21"/>
          <w:szCs w:val="22"/>
          <w:highlight w:val="none"/>
          <w:u w:val="none"/>
          <w:lang w:val="en-US" w:eastAsia="zh-CN" w:bidi="ar-SA"/>
        </w:rPr>
      </w:pPr>
      <w:r>
        <w:rPr>
          <w:rFonts w:hint="eastAsia" w:ascii="Times New Roman" w:hAnsi="Times New Roman" w:cs="Times New Roman"/>
          <w:color w:val="auto"/>
          <w:kern w:val="2"/>
          <w:sz w:val="21"/>
          <w:szCs w:val="22"/>
          <w:highlight w:val="none"/>
          <w:u w:val="none"/>
          <w:lang w:val="en-US" w:eastAsia="zh-CN" w:bidi="ar-SA"/>
        </w:rPr>
        <w:t>1.3 项目概况：</w:t>
      </w:r>
      <w:bookmarkStart w:id="9" w:name="_Toc17858_WPSOffice_Level2"/>
      <w:bookmarkStart w:id="10" w:name="_Toc525632586"/>
      <w:bookmarkStart w:id="11" w:name="_Toc8128_WPSOffice_Level2"/>
      <w:bookmarkStart w:id="12" w:name="_Toc18367_WPSOffice_Level2"/>
      <w:bookmarkStart w:id="13" w:name="_Toc18453"/>
      <w:bookmarkStart w:id="14" w:name="_Toc23266_WPSOffice_Level2"/>
      <w:bookmarkStart w:id="15" w:name="_Toc10274"/>
      <w:r>
        <w:rPr>
          <w:rFonts w:hint="eastAsia" w:ascii="Times New Roman" w:hAnsi="Times New Roman" w:cs="Times New Roman"/>
          <w:color w:val="auto"/>
          <w:kern w:val="2"/>
          <w:sz w:val="21"/>
          <w:szCs w:val="22"/>
          <w:highlight w:val="none"/>
          <w:u w:val="none"/>
          <w:lang w:val="en-US" w:eastAsia="zh-CN" w:bidi="ar-SA"/>
        </w:rPr>
        <w:t>安联尚璟府项目位于光明中心区，科学公园旁，占地约1.8万方，总建面约9.2万方，容积率3.8，横列式类板楼设计，两梯四户，户户朝南，打造高品质宜居生态社区，为光明带来新的人居体验。目前在售89-111㎡3-4房，现房热销中。</w:t>
      </w:r>
    </w:p>
    <w:bookmarkEnd w:id="9"/>
    <w:bookmarkEnd w:id="10"/>
    <w:bookmarkEnd w:id="11"/>
    <w:bookmarkEnd w:id="12"/>
    <w:bookmarkEnd w:id="13"/>
    <w:bookmarkEnd w:id="14"/>
    <w:bookmarkEnd w:id="15"/>
    <w:p w14:paraId="3E2651AB">
      <w:pPr>
        <w:pStyle w:val="4"/>
        <w:snapToGrid w:val="0"/>
        <w:spacing w:before="120" w:after="120" w:line="240" w:lineRule="auto"/>
        <w:ind w:firstLine="403"/>
        <w:rPr>
          <w:rFonts w:hint="eastAsia" w:ascii="Times New Roman" w:hAnsi="Times New Roman" w:cs="Times New Roman" w:eastAsiaTheme="minorEastAsia"/>
          <w:b w:val="0"/>
          <w:bCs w:val="0"/>
          <w:color w:val="auto"/>
          <w:kern w:val="2"/>
          <w:sz w:val="21"/>
          <w:szCs w:val="22"/>
          <w:highlight w:val="none"/>
          <w:u w:val="single"/>
          <w:lang w:val="en-US" w:eastAsia="zh-CN" w:bidi="ar-SA"/>
        </w:rPr>
      </w:pPr>
      <w:bookmarkStart w:id="16" w:name="_Toc22308"/>
      <w:bookmarkStart w:id="17" w:name="_Toc4489_WPSOffice_Level3"/>
      <w:r>
        <w:rPr>
          <w:rFonts w:hint="eastAsia" w:ascii="Times New Roman" w:hAnsi="Times New Roman" w:eastAsia="黑体" w:cs="Times New Roman"/>
          <w:bCs w:val="0"/>
          <w:color w:val="auto"/>
          <w:sz w:val="22"/>
          <w:szCs w:val="15"/>
          <w:highlight w:val="none"/>
          <w:lang w:val="en-US" w:eastAsia="zh-CN"/>
        </w:rPr>
        <w:t>采购说明</w:t>
      </w:r>
      <w:bookmarkEnd w:id="16"/>
    </w:p>
    <w:p w14:paraId="1EA8E8EA">
      <w:pPr>
        <w:snapToGrid w:val="0"/>
        <w:spacing w:line="440" w:lineRule="exact"/>
        <w:ind w:firstLine="420" w:firstLineChars="200"/>
        <w:rPr>
          <w:rFonts w:ascii="Times New Roman" w:hAnsi="Times New Roman" w:cs="Times New Roman"/>
          <w:color w:val="auto"/>
          <w:szCs w:val="22"/>
          <w:highlight w:val="none"/>
          <w:u w:val="single"/>
        </w:rPr>
      </w:pPr>
      <w:r>
        <w:rPr>
          <w:rFonts w:ascii="Times New Roman" w:hAnsi="Times New Roman" w:cs="Times New Roman"/>
          <w:color w:val="auto"/>
          <w:szCs w:val="22"/>
          <w:highlight w:val="none"/>
        </w:rPr>
        <w:t>2.1 采购方式：</w:t>
      </w:r>
      <w:bookmarkEnd w:id="17"/>
      <w:r>
        <w:rPr>
          <w:rFonts w:ascii="Times New Roman" w:hAnsi="Times New Roman" w:cs="Times New Roman"/>
          <w:color w:val="auto"/>
          <w:szCs w:val="22"/>
          <w:highlight w:val="none"/>
          <w:u w:val="single"/>
        </w:rPr>
        <w:t>公开询比采购</w:t>
      </w:r>
    </w:p>
    <w:p w14:paraId="0A6EFB6B">
      <w:pPr>
        <w:snapToGrid w:val="0"/>
        <w:spacing w:line="440" w:lineRule="exact"/>
        <w:ind w:firstLine="420" w:firstLineChars="200"/>
        <w:rPr>
          <w:rFonts w:ascii="Times New Roman" w:hAnsi="Times New Roman" w:cs="Times New Roman"/>
          <w:color w:val="auto"/>
          <w:szCs w:val="22"/>
          <w:highlight w:val="none"/>
          <w:u w:val="single"/>
        </w:rPr>
      </w:pPr>
      <w:bookmarkStart w:id="18" w:name="_Toc23266_WPSOffice_Level3"/>
      <w:r>
        <w:rPr>
          <w:rFonts w:ascii="Times New Roman" w:hAnsi="Times New Roman" w:cs="Times New Roman"/>
          <w:color w:val="auto"/>
          <w:szCs w:val="22"/>
          <w:highlight w:val="none"/>
        </w:rPr>
        <w:t>2.2 资金来源及比例：</w:t>
      </w:r>
      <w:bookmarkEnd w:id="18"/>
      <w:bookmarkStart w:id="19" w:name="_Toc22379_WPSOffice_Level3"/>
      <w:r>
        <w:rPr>
          <w:rFonts w:hint="eastAsia" w:ascii="Times New Roman" w:hAnsi="Times New Roman" w:cs="Times New Roman"/>
          <w:color w:val="auto"/>
          <w:szCs w:val="22"/>
          <w:highlight w:val="none"/>
          <w:u w:val="single"/>
        </w:rPr>
        <w:t>100%来自</w:t>
      </w:r>
      <w:r>
        <w:rPr>
          <w:rFonts w:ascii="Times New Roman" w:hAnsi="Times New Roman" w:cs="Times New Roman"/>
          <w:color w:val="auto"/>
          <w:szCs w:val="22"/>
          <w:highlight w:val="none"/>
          <w:u w:val="single"/>
        </w:rPr>
        <w:t>企业自筹</w:t>
      </w:r>
    </w:p>
    <w:p w14:paraId="2DCF2F5B">
      <w:pPr>
        <w:snapToGrid w:val="0"/>
        <w:spacing w:line="440" w:lineRule="exact"/>
        <w:ind w:firstLine="420" w:firstLineChars="200"/>
        <w:rPr>
          <w:rFonts w:hint="eastAsia" w:ascii="宋体" w:hAnsi="宋体" w:cs="宋体"/>
          <w:color w:val="auto"/>
          <w:szCs w:val="21"/>
        </w:rPr>
      </w:pPr>
      <w:r>
        <w:rPr>
          <w:rFonts w:hint="eastAsia" w:ascii="MicrosoftYaHei" w:hAnsi="MicrosoftYaHei" w:eastAsia="MicrosoftYaHei"/>
          <w:color w:val="auto"/>
          <w:sz w:val="21"/>
          <w:szCs w:val="21"/>
          <w:lang w:val="en-US" w:eastAsia="zh-CN"/>
        </w:rPr>
        <w:t>2.3 采购范围：</w:t>
      </w:r>
      <w:r>
        <w:rPr>
          <w:rFonts w:hint="eastAsia" w:ascii="Times New Roman" w:hAnsi="Times New Roman" w:cs="Times New Roman"/>
          <w:color w:val="auto"/>
          <w:kern w:val="2"/>
          <w:sz w:val="21"/>
          <w:szCs w:val="22"/>
          <w:highlight w:val="none"/>
          <w:u w:val="none"/>
          <w:lang w:val="en-US" w:eastAsia="zh-CN" w:bidi="ar-SA"/>
        </w:rPr>
        <w:t>深圳安联尚璟府项目软装家具套装采购（2025~2026年度），</w:t>
      </w:r>
      <w:r>
        <w:rPr>
          <w:rFonts w:hint="eastAsia" w:ascii="宋体" w:hAnsi="宋体" w:cs="宋体"/>
          <w:color w:val="auto"/>
          <w:szCs w:val="21"/>
        </w:rPr>
        <w:t>包括但不限于沙发组、餐桌、餐椅、主卧床、次卧床、</w:t>
      </w:r>
      <w:r>
        <w:rPr>
          <w:rFonts w:hint="eastAsia" w:ascii="宋体" w:hAnsi="宋体" w:cs="宋体"/>
          <w:color w:val="auto"/>
          <w:szCs w:val="21"/>
          <w:lang w:val="en-US" w:eastAsia="zh-CN"/>
        </w:rPr>
        <w:t>床头柜</w:t>
      </w:r>
      <w:r>
        <w:rPr>
          <w:rFonts w:hint="eastAsia" w:ascii="宋体" w:hAnsi="宋体" w:cs="宋体"/>
          <w:color w:val="auto"/>
          <w:szCs w:val="21"/>
        </w:rPr>
        <w:t>及全屋定制柜等</w:t>
      </w:r>
    </w:p>
    <w:p w14:paraId="39660FD4">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 xml:space="preserve">2.4 </w:t>
      </w:r>
      <w:r>
        <w:rPr>
          <w:rFonts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rPr>
        <w:t>一个合同包</w:t>
      </w:r>
    </w:p>
    <w:p w14:paraId="68B78113">
      <w:pPr>
        <w:snapToGrid w:val="0"/>
        <w:spacing w:line="440" w:lineRule="exact"/>
        <w:ind w:firstLine="420" w:firstLineChars="200"/>
        <w:rPr>
          <w:rFonts w:ascii="Times New Roman" w:hAnsi="Times New Roman" w:cs="Times New Roman"/>
          <w:color w:val="auto"/>
          <w:szCs w:val="22"/>
          <w:highlight w:val="none"/>
          <w:u w:val="single"/>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ascii="Times New Roman" w:hAnsi="Times New Roman" w:cs="Times New Roman"/>
          <w:color w:val="auto"/>
          <w:szCs w:val="22"/>
          <w:highlight w:val="none"/>
        </w:rPr>
        <w:t xml:space="preserve"> 最高限价</w:t>
      </w:r>
      <w:r>
        <w:rPr>
          <w:rFonts w:hint="eastAsia" w:ascii="Times New Roman" w:hAnsi="Times New Roman" w:cs="Times New Roman"/>
          <w:color w:val="auto"/>
          <w:szCs w:val="22"/>
          <w:highlight w:val="none"/>
          <w:lang w:eastAsia="zh-CN"/>
        </w:rPr>
        <w:t>（</w:t>
      </w:r>
      <w:r>
        <w:rPr>
          <w:rFonts w:hint="eastAsia" w:ascii="Times New Roman" w:hAnsi="Times New Roman" w:cs="Times New Roman"/>
          <w:color w:val="auto"/>
          <w:szCs w:val="22"/>
          <w:highlight w:val="none"/>
          <w:lang w:val="en-US" w:eastAsia="zh-CN"/>
        </w:rPr>
        <w:t>含税</w:t>
      </w:r>
      <w:r>
        <w:rPr>
          <w:rFonts w:hint="eastAsia" w:ascii="Times New Roman" w:hAnsi="Times New Roman" w:cs="Times New Roman"/>
          <w:color w:val="auto"/>
          <w:szCs w:val="22"/>
          <w:highlight w:val="none"/>
          <w:lang w:eastAsia="zh-CN"/>
        </w:rPr>
        <w:t>）</w:t>
      </w:r>
      <w:r>
        <w:rPr>
          <w:rFonts w:ascii="Times New Roman" w:hAnsi="Times New Roman" w:cs="Times New Roman"/>
          <w:color w:val="auto"/>
          <w:szCs w:val="22"/>
          <w:highlight w:val="none"/>
        </w:rPr>
        <w:t>：</w:t>
      </w:r>
      <w:bookmarkEnd w:id="19"/>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人民币1451005.00</w:t>
      </w:r>
      <w:r>
        <w:rPr>
          <w:rFonts w:hint="eastAsia" w:ascii="Times New Roman" w:hAnsi="Times New Roman" w:cs="Times New Roman"/>
          <w:color w:val="auto"/>
          <w:szCs w:val="22"/>
          <w:highlight w:val="none"/>
          <w:u w:val="single"/>
        </w:rPr>
        <w:t>元</w:t>
      </w:r>
      <w:r>
        <w:rPr>
          <w:rFonts w:ascii="Times New Roman" w:hAnsi="Times New Roman" w:cs="Times New Roman"/>
          <w:color w:val="auto"/>
          <w:szCs w:val="22"/>
          <w:highlight w:val="none"/>
          <w:u w:val="single"/>
        </w:rPr>
        <w:t xml:space="preserve"> </w:t>
      </w:r>
    </w:p>
    <w:p w14:paraId="40F2EA20">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2.6 计划交货期：供货期限</w:t>
      </w:r>
      <w:r>
        <w:rPr>
          <w:rFonts w:hint="eastAsia" w:ascii="Times New Roman" w:hAnsi="Times New Roman" w:cs="Times New Roman"/>
          <w:color w:val="auto"/>
          <w:szCs w:val="22"/>
          <w:highlight w:val="none"/>
        </w:rPr>
        <w:t>自合同签订生效之日起至202</w:t>
      </w:r>
      <w:r>
        <w:rPr>
          <w:rFonts w:hint="eastAsia" w:ascii="Times New Roman" w:hAnsi="Times New Roman" w:cs="Times New Roman"/>
          <w:color w:val="auto"/>
          <w:szCs w:val="22"/>
          <w:highlight w:val="none"/>
          <w:lang w:val="en-US" w:eastAsia="zh-CN"/>
        </w:rPr>
        <w:t>6</w:t>
      </w:r>
      <w:r>
        <w:rPr>
          <w:rFonts w:hint="eastAsia" w:ascii="Times New Roman" w:hAnsi="Times New Roman" w:cs="Times New Roman"/>
          <w:color w:val="auto"/>
          <w:szCs w:val="22"/>
          <w:highlight w:val="none"/>
        </w:rPr>
        <w:t>年12月31日</w:t>
      </w:r>
      <w:r>
        <w:rPr>
          <w:rFonts w:ascii="Times New Roman" w:hAnsi="Times New Roman" w:cs="Times New Roman"/>
          <w:color w:val="auto"/>
          <w:szCs w:val="22"/>
          <w:highlight w:val="none"/>
        </w:rPr>
        <w:t>，具体各批次</w:t>
      </w:r>
      <w:r>
        <w:rPr>
          <w:rFonts w:hint="eastAsia" w:ascii="Times New Roman" w:hAnsi="Times New Roman" w:cs="Times New Roman"/>
          <w:color w:val="auto"/>
          <w:szCs w:val="22"/>
          <w:highlight w:val="none"/>
        </w:rPr>
        <w:t>家</w:t>
      </w:r>
      <w:r>
        <w:rPr>
          <w:rFonts w:hint="eastAsia" w:ascii="Times New Roman" w:hAnsi="Times New Roman" w:cs="Times New Roman"/>
          <w:color w:val="auto"/>
          <w:szCs w:val="22"/>
          <w:highlight w:val="none"/>
          <w:lang w:val="en-US" w:eastAsia="zh-CN"/>
        </w:rPr>
        <w:t>具</w:t>
      </w:r>
      <w:r>
        <w:rPr>
          <w:rFonts w:hint="eastAsia" w:ascii="Times New Roman" w:hAnsi="Times New Roman" w:cs="Times New Roman"/>
          <w:color w:val="auto"/>
          <w:szCs w:val="22"/>
          <w:highlight w:val="none"/>
        </w:rPr>
        <w:t>套装</w:t>
      </w:r>
      <w:r>
        <w:rPr>
          <w:rFonts w:ascii="Times New Roman" w:hAnsi="Times New Roman" w:cs="Times New Roman"/>
          <w:color w:val="auto"/>
          <w:szCs w:val="22"/>
          <w:highlight w:val="none"/>
        </w:rPr>
        <w:t>交货期以甲方后续实际通知为准。</w:t>
      </w:r>
    </w:p>
    <w:p w14:paraId="48F6361D">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rPr>
        <w:t>7</w:t>
      </w:r>
      <w:r>
        <w:rPr>
          <w:rFonts w:ascii="Times New Roman" w:hAnsi="Times New Roman" w:cs="Times New Roman"/>
          <w:color w:val="auto"/>
          <w:szCs w:val="22"/>
          <w:highlight w:val="none"/>
        </w:rPr>
        <w:t xml:space="preserve"> 每个供应商最多可同时对</w:t>
      </w:r>
      <w:r>
        <w:rPr>
          <w:rFonts w:hint="eastAsia" w:ascii="Times New Roman" w:hAnsi="Times New Roman" w:cs="Times New Roman"/>
          <w:color w:val="auto"/>
          <w:szCs w:val="22"/>
          <w:highlight w:val="none"/>
          <w:u w:val="single"/>
        </w:rPr>
        <w:t xml:space="preserve"> 1个</w:t>
      </w:r>
      <w:r>
        <w:rPr>
          <w:rFonts w:ascii="Times New Roman" w:hAnsi="Times New Roman" w:cs="Times New Roman"/>
          <w:color w:val="auto"/>
          <w:szCs w:val="22"/>
          <w:highlight w:val="none"/>
        </w:rPr>
        <w:t>（具体数量）合同包进行报价，并允许最多成交</w:t>
      </w:r>
      <w:r>
        <w:rPr>
          <w:rFonts w:hint="eastAsia" w:ascii="Times New Roman" w:hAnsi="Times New Roman" w:cs="Times New Roman"/>
          <w:color w:val="auto"/>
          <w:szCs w:val="22"/>
          <w:highlight w:val="none"/>
          <w:u w:val="single"/>
        </w:rPr>
        <w:t xml:space="preserve"> 1</w:t>
      </w:r>
      <w:r>
        <w:rPr>
          <w:rFonts w:ascii="Times New Roman" w:hAnsi="Times New Roman" w:cs="Times New Roman"/>
          <w:color w:val="auto"/>
          <w:szCs w:val="22"/>
          <w:highlight w:val="none"/>
        </w:rPr>
        <w:t>个合同包</w:t>
      </w:r>
      <w:r>
        <w:rPr>
          <w:rFonts w:hint="eastAsia" w:ascii="Times New Roman" w:hAnsi="Times New Roman" w:cs="Times New Roman"/>
          <w:color w:val="auto"/>
          <w:szCs w:val="22"/>
          <w:highlight w:val="none"/>
        </w:rPr>
        <w:t>；多合同包的成交原则：</w:t>
      </w:r>
      <w:r>
        <w:rPr>
          <w:rFonts w:hint="eastAsia" w:ascii="Times New Roman" w:hAnsi="Times New Roman" w:cs="Times New Roman"/>
          <w:color w:val="auto"/>
          <w:szCs w:val="22"/>
          <w:highlight w:val="none"/>
          <w:u w:val="single"/>
          <w:lang w:val="en-US" w:eastAsia="zh-CN"/>
        </w:rPr>
        <w:t xml:space="preserve"> / </w:t>
      </w:r>
      <w:r>
        <w:rPr>
          <w:rFonts w:ascii="Times New Roman" w:hAnsi="Times New Roman" w:cs="Times New Roman"/>
          <w:color w:val="auto"/>
          <w:szCs w:val="22"/>
          <w:highlight w:val="none"/>
        </w:rPr>
        <w:t>。</w:t>
      </w:r>
    </w:p>
    <w:p w14:paraId="1C69114B">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0" w:name="_Toc22379_WPSOffice_Level2"/>
      <w:bookmarkStart w:id="21" w:name="_Toc525632587"/>
      <w:bookmarkStart w:id="22" w:name="_Toc29516_WPSOffice_Level2"/>
      <w:bookmarkStart w:id="23" w:name="_Toc6388"/>
      <w:bookmarkStart w:id="24" w:name="_Toc31673_WPSOffice_Level2"/>
      <w:bookmarkStart w:id="25" w:name="_Toc3714"/>
      <w:bookmarkStart w:id="26" w:name="_Toc1622_WPSOffice_Level2"/>
      <w:bookmarkStart w:id="27" w:name="_Toc26827"/>
      <w:r>
        <w:rPr>
          <w:rFonts w:ascii="Times New Roman" w:hAnsi="Times New Roman" w:eastAsia="黑体" w:cs="Times New Roman"/>
          <w:bCs w:val="0"/>
          <w:color w:val="auto"/>
          <w:sz w:val="22"/>
          <w:szCs w:val="15"/>
          <w:highlight w:val="none"/>
        </w:rPr>
        <w:t>供应商资格条件</w:t>
      </w:r>
      <w:bookmarkEnd w:id="20"/>
      <w:bookmarkEnd w:id="21"/>
      <w:bookmarkEnd w:id="22"/>
      <w:bookmarkEnd w:id="23"/>
      <w:bookmarkEnd w:id="24"/>
      <w:bookmarkEnd w:id="25"/>
      <w:bookmarkEnd w:id="26"/>
      <w:bookmarkEnd w:id="27"/>
    </w:p>
    <w:p w14:paraId="3BFE6AF2">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3.1 本次采购要求供应商须</w:t>
      </w:r>
      <w:r>
        <w:rPr>
          <w:rFonts w:hint="eastAsia" w:ascii="Times New Roman" w:hAnsi="Times New Roman" w:cs="Times New Roman"/>
          <w:color w:val="auto"/>
          <w:szCs w:val="22"/>
          <w:highlight w:val="none"/>
        </w:rPr>
        <w:t>同时</w:t>
      </w:r>
      <w:r>
        <w:rPr>
          <w:rFonts w:ascii="Times New Roman" w:hAnsi="Times New Roman" w:cs="Times New Roman"/>
          <w:color w:val="auto"/>
          <w:szCs w:val="22"/>
          <w:highlight w:val="none"/>
        </w:rPr>
        <w:t>具备：</w:t>
      </w:r>
    </w:p>
    <w:p w14:paraId="3CC1B031">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（1）资质最低要求：</w:t>
      </w:r>
    </w:p>
    <w:p w14:paraId="3D25A6B5">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①具备</w:t>
      </w:r>
      <w:r>
        <w:rPr>
          <w:rFonts w:ascii="Times New Roman" w:hAnsi="Times New Roman" w:cs="Times New Roman"/>
          <w:color w:val="auto"/>
          <w:szCs w:val="22"/>
          <w:highlight w:val="none"/>
          <w:u w:val="single"/>
        </w:rPr>
        <w:t>独立法人资格</w:t>
      </w:r>
      <w:r>
        <w:rPr>
          <w:rFonts w:ascii="Times New Roman" w:hAnsi="Times New Roman" w:cs="Times New Roman"/>
          <w:color w:val="auto"/>
          <w:szCs w:val="22"/>
          <w:highlight w:val="none"/>
        </w:rPr>
        <w:t>，持有有效的营业执照；</w:t>
      </w:r>
    </w:p>
    <w:p w14:paraId="2DB6457E">
      <w:pPr>
        <w:snapToGrid w:val="0"/>
        <w:spacing w:line="440" w:lineRule="exact"/>
        <w:ind w:firstLine="420" w:firstLineChars="200"/>
        <w:rPr>
          <w:rFonts w:hint="eastAsia" w:ascii="Times New Roman" w:hAnsi="Times New Roman" w:cs="Times New Roman"/>
          <w:color w:val="auto"/>
          <w:szCs w:val="22"/>
          <w:highlight w:val="none"/>
          <w:lang w:val="en-US" w:eastAsia="zh-CN"/>
        </w:rPr>
      </w:pPr>
      <w:r>
        <w:rPr>
          <w:rFonts w:ascii="Times New Roman" w:hAnsi="Times New Roman" w:cs="Times New Roman"/>
          <w:color w:val="auto"/>
          <w:szCs w:val="22"/>
          <w:highlight w:val="none"/>
        </w:rPr>
        <w:t>②</w:t>
      </w:r>
      <w:r>
        <w:rPr>
          <w:rFonts w:hint="eastAsia" w:ascii="Times New Roman" w:hAnsi="Times New Roman" w:cs="Times New Roman"/>
          <w:color w:val="auto"/>
          <w:szCs w:val="22"/>
          <w:highlight w:val="none"/>
          <w:lang w:val="en-US" w:eastAsia="zh-CN"/>
        </w:rPr>
        <w:t>营业执照的经营范围需包含：家具销售或家具安装或维修服务或家居用品销售等内容。</w:t>
      </w:r>
    </w:p>
    <w:p w14:paraId="11D266E2">
      <w:pPr>
        <w:pStyle w:val="2"/>
        <w:rPr>
          <w:rFonts w:hint="default" w:ascii="Times New Roman" w:hAnsi="Times New Roman" w:cs="Times New Roman"/>
          <w:color w:val="auto"/>
          <w:lang w:val="en-US" w:eastAsia="zh-CN"/>
        </w:rPr>
      </w:pPr>
      <w:r>
        <w:rPr>
          <w:rFonts w:hint="eastAsia" w:ascii="Times New Roman" w:hAnsi="Times New Roman" w:cs="Times New Roman"/>
          <w:color w:val="auto"/>
          <w:szCs w:val="22"/>
          <w:highlight w:val="none"/>
          <w:lang w:val="en-US" w:eastAsia="zh-CN"/>
        </w:rPr>
        <w:t xml:space="preserve">   </w:t>
      </w:r>
      <w:r>
        <w:rPr>
          <w:rFonts w:hint="default" w:ascii="Calibri" w:hAnsi="Calibri" w:cs="Calibri"/>
          <w:color w:val="auto"/>
          <w:szCs w:val="22"/>
          <w:highlight w:val="none"/>
          <w:lang w:val="en-US" w:eastAsia="zh-CN"/>
        </w:rPr>
        <w:t>③</w:t>
      </w:r>
      <w:r>
        <w:rPr>
          <w:rFonts w:hint="eastAsia" w:ascii="Calibri" w:hAnsi="Calibri" w:cs="Calibri"/>
          <w:color w:val="auto"/>
          <w:szCs w:val="22"/>
          <w:highlight w:val="none"/>
          <w:lang w:val="en-US" w:eastAsia="zh-CN"/>
        </w:rPr>
        <w:t>报价响应品牌需要提供品牌授权书。</w:t>
      </w:r>
    </w:p>
    <w:p w14:paraId="7DF53197">
      <w:pPr>
        <w:numPr>
          <w:ilvl w:val="0"/>
          <w:numId w:val="3"/>
        </w:num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业绩最低要求：</w:t>
      </w:r>
    </w:p>
    <w:p w14:paraId="0B8A8864">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近</w:t>
      </w:r>
      <w:r>
        <w:rPr>
          <w:rFonts w:hint="eastAsia"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w:t>
      </w:r>
      <w:r>
        <w:rPr>
          <w:rFonts w:hint="eastAsia"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rPr>
        <w:t>年</w:t>
      </w:r>
      <w:r>
        <w:rPr>
          <w:rFonts w:hint="eastAsia" w:ascii="Times New Roman" w:hAnsi="Times New Roman" w:cs="Times New Roman"/>
          <w:color w:val="auto"/>
          <w:szCs w:val="22"/>
          <w:highlight w:val="none"/>
          <w:lang w:eastAsia="zh-CN"/>
        </w:rPr>
        <w:t>【</w:t>
      </w:r>
      <w:r>
        <w:rPr>
          <w:rFonts w:hint="eastAsia" w:ascii="Times New Roman" w:hAnsi="Times New Roman" w:cs="Times New Roman"/>
          <w:color w:val="auto"/>
          <w:szCs w:val="22"/>
          <w:highlight w:val="none"/>
        </w:rPr>
        <w:t>指</w:t>
      </w:r>
      <w:r>
        <w:rPr>
          <w:rFonts w:hint="eastAsia" w:ascii="Times New Roman" w:hAnsi="Times New Roman" w:cs="Times New Roman"/>
          <w:color w:val="auto"/>
          <w:szCs w:val="22"/>
          <w:highlight w:val="none"/>
          <w:u w:val="single"/>
        </w:rPr>
        <w:t xml:space="preserve"> 202</w:t>
      </w:r>
      <w:r>
        <w:rPr>
          <w:rFonts w:hint="eastAsia" w:ascii="Times New Roman" w:hAnsi="Times New Roman" w:cs="Times New Roman"/>
          <w:color w:val="auto"/>
          <w:szCs w:val="22"/>
          <w:highlight w:val="none"/>
          <w:u w:val="single"/>
          <w:lang w:val="en-US" w:eastAsia="zh-CN"/>
        </w:rPr>
        <w:t>2</w:t>
      </w:r>
      <w:r>
        <w:rPr>
          <w:rFonts w:hint="eastAsia"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11</w:t>
      </w:r>
      <w:r>
        <w:rPr>
          <w:rFonts w:hint="eastAsia"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1</w:t>
      </w:r>
      <w:r>
        <w:rPr>
          <w:rFonts w:hint="eastAsia" w:ascii="Times New Roman" w:hAnsi="Times New Roman" w:cs="Times New Roman"/>
          <w:color w:val="auto"/>
          <w:szCs w:val="22"/>
          <w:highlight w:val="none"/>
        </w:rPr>
        <w:t>日至响应文件递交截止日期，以</w:t>
      </w:r>
      <w:r>
        <w:rPr>
          <w:rFonts w:hint="eastAsia" w:ascii="Times New Roman" w:hAnsi="Times New Roman" w:cs="Times New Roman"/>
          <w:color w:val="auto"/>
          <w:szCs w:val="22"/>
          <w:highlight w:val="none"/>
          <w:u w:val="single"/>
          <w:lang w:val="en-US" w:eastAsia="zh-CN"/>
        </w:rPr>
        <w:t>与</w:t>
      </w:r>
      <w:r>
        <w:rPr>
          <w:rFonts w:hint="eastAsia" w:ascii="Times New Roman" w:hAnsi="Times New Roman" w:cs="Times New Roman"/>
          <w:color w:val="auto"/>
          <w:szCs w:val="22"/>
          <w:highlight w:val="none"/>
          <w:u w:val="single"/>
        </w:rPr>
        <w:t>委托方签订的合同协议书上载明的时间为准</w:t>
      </w:r>
      <w:r>
        <w:rPr>
          <w:rFonts w:hint="eastAsia" w:ascii="Times New Roman" w:hAnsi="Times New Roman" w:cs="Times New Roman"/>
          <w:color w:val="auto"/>
          <w:szCs w:val="22"/>
          <w:highlight w:val="none"/>
          <w:u w:val="single"/>
          <w:lang w:eastAsia="zh-CN"/>
        </w:rPr>
        <w:t>】</w:t>
      </w:r>
      <w:r>
        <w:rPr>
          <w:rFonts w:hint="eastAsia" w:ascii="Times New Roman" w:hAnsi="Times New Roman" w:cs="Times New Roman"/>
          <w:color w:val="auto"/>
          <w:szCs w:val="22"/>
          <w:highlight w:val="none"/>
        </w:rPr>
        <w:t>具备</w:t>
      </w:r>
      <w:r>
        <w:rPr>
          <w:rFonts w:ascii="Times New Roman" w:hAnsi="Times New Roman" w:cs="Times New Roman"/>
          <w:color w:val="auto"/>
          <w:u w:val="single"/>
        </w:rPr>
        <w:t xml:space="preserve"> 1个</w:t>
      </w:r>
      <w:r>
        <w:rPr>
          <w:rFonts w:hint="eastAsia" w:ascii="Times New Roman" w:hAnsi="Times New Roman" w:cs="Times New Roman"/>
          <w:color w:val="auto"/>
          <w:u w:val="single"/>
        </w:rPr>
        <w:t xml:space="preserve">100 </w:t>
      </w:r>
      <w:r>
        <w:rPr>
          <w:rFonts w:ascii="Times New Roman" w:hAnsi="Times New Roman" w:cs="Times New Roman"/>
          <w:color w:val="auto"/>
          <w:u w:val="single"/>
        </w:rPr>
        <w:t>万元及以上</w:t>
      </w:r>
      <w:r>
        <w:rPr>
          <w:rFonts w:hint="eastAsia" w:ascii="Times New Roman" w:hAnsi="Times New Roman" w:cs="Times New Roman"/>
          <w:color w:val="auto"/>
          <w:szCs w:val="22"/>
          <w:highlight w:val="none"/>
          <w:u w:val="single"/>
          <w:lang w:val="en-US" w:eastAsia="zh-CN"/>
        </w:rPr>
        <w:t>的家具</w:t>
      </w:r>
      <w:r>
        <w:rPr>
          <w:rFonts w:hint="eastAsia" w:ascii="Times New Roman" w:hAnsi="Times New Roman" w:cs="Times New Roman"/>
          <w:color w:val="auto"/>
          <w:szCs w:val="22"/>
          <w:highlight w:val="none"/>
        </w:rPr>
        <w:t>套装</w:t>
      </w:r>
      <w:r>
        <w:rPr>
          <w:rFonts w:hint="eastAsia" w:ascii="Times New Roman" w:hAnsi="Times New Roman" w:cs="Times New Roman"/>
          <w:color w:val="auto"/>
          <w:szCs w:val="22"/>
          <w:highlight w:val="none"/>
          <w:lang w:val="en-US" w:eastAsia="zh-CN"/>
        </w:rPr>
        <w:t>供货安装</w:t>
      </w:r>
      <w:r>
        <w:rPr>
          <w:rFonts w:hint="eastAsia" w:ascii="Times New Roman" w:hAnsi="Times New Roman" w:cs="Times New Roman"/>
          <w:color w:val="auto"/>
          <w:szCs w:val="22"/>
          <w:highlight w:val="none"/>
          <w:u w:val="single"/>
          <w:lang w:val="en-US" w:eastAsia="zh-CN"/>
        </w:rPr>
        <w:t>等类似业绩（</w:t>
      </w:r>
      <w:r>
        <w:rPr>
          <w:rFonts w:hint="eastAsia" w:ascii="Times New Roman" w:hAnsi="Times New Roman" w:cs="Times New Roman"/>
          <w:color w:val="auto"/>
          <w:szCs w:val="22"/>
          <w:highlight w:val="none"/>
          <w:u w:val="single"/>
        </w:rPr>
        <w:t>业绩证明须提供含合同签订日期或合同中载明的服务日期、服务范围、合同双方盖章签署页的复印件，并加盖公章</w:t>
      </w:r>
      <w:r>
        <w:rPr>
          <w:rFonts w:hint="eastAsia" w:ascii="Times New Roman" w:hAnsi="Times New Roman" w:cs="Times New Roman"/>
          <w:color w:val="auto"/>
          <w:szCs w:val="22"/>
          <w:highlight w:val="none"/>
          <w:u w:val="single"/>
          <w:lang w:eastAsia="zh-CN"/>
        </w:rPr>
        <w:t>）</w:t>
      </w:r>
      <w:r>
        <w:rPr>
          <w:rFonts w:ascii="Times New Roman" w:hAnsi="Times New Roman" w:cs="Times New Roman"/>
          <w:color w:val="auto"/>
          <w:szCs w:val="22"/>
          <w:highlight w:val="none"/>
        </w:rPr>
        <w:t>。</w:t>
      </w:r>
    </w:p>
    <w:p w14:paraId="6A2B217F">
      <w:pPr>
        <w:numPr>
          <w:ilvl w:val="0"/>
          <w:numId w:val="3"/>
        </w:num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信誉要求最低要求：</w:t>
      </w:r>
    </w:p>
    <w:p w14:paraId="75FECE3A">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①</w:t>
      </w:r>
      <w:r>
        <w:rPr>
          <w:rFonts w:hint="eastAsia" w:ascii="Times New Roman" w:hAnsi="Times New Roman" w:cs="Times New Roman"/>
          <w:color w:val="auto"/>
          <w:szCs w:val="22"/>
          <w:highlight w:val="none"/>
        </w:rPr>
        <w:t>未被责令停业，暂扣或吊销执照，或吊销资质证书；</w:t>
      </w:r>
    </w:p>
    <w:p w14:paraId="67A3F768">
      <w:pPr>
        <w:snapToGrid w:val="0"/>
        <w:spacing w:line="440" w:lineRule="exact"/>
        <w:ind w:firstLine="420" w:firstLineChars="200"/>
        <w:rPr>
          <w:color w:val="auto"/>
          <w:highlight w:val="none"/>
        </w:rPr>
      </w:pPr>
      <w:r>
        <w:rPr>
          <w:rFonts w:hint="eastAsia" w:ascii="Times New Roman" w:hAnsi="Times New Roman" w:cs="Times New Roman"/>
          <w:color w:val="auto"/>
          <w:szCs w:val="22"/>
          <w:highlight w:val="none"/>
        </w:rPr>
        <w:t>②未进入清算程序，或被宣告破产，或其他丧失履约能力的情形；</w:t>
      </w:r>
    </w:p>
    <w:p w14:paraId="176F7118">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③</w:t>
      </w:r>
      <w:r>
        <w:rPr>
          <w:rFonts w:ascii="Times New Roman" w:hAnsi="Times New Roman" w:cs="Times New Roman"/>
          <w:color w:val="auto"/>
          <w:szCs w:val="22"/>
          <w:highlight w:val="none"/>
        </w:rPr>
        <w:t>在国家企业信用信息公示系统（http://www.gsxt.gov.cn）中</w:t>
      </w:r>
      <w:r>
        <w:rPr>
          <w:rFonts w:hint="eastAsia" w:ascii="Times New Roman" w:hAnsi="Times New Roman" w:cs="Times New Roman"/>
          <w:color w:val="auto"/>
          <w:szCs w:val="22"/>
          <w:highlight w:val="none"/>
        </w:rPr>
        <w:t>未</w:t>
      </w:r>
      <w:r>
        <w:rPr>
          <w:rFonts w:ascii="Times New Roman" w:hAnsi="Times New Roman" w:cs="Times New Roman"/>
          <w:color w:val="auto"/>
          <w:szCs w:val="22"/>
          <w:highlight w:val="none"/>
        </w:rPr>
        <w:t>被列入严重违法失信企业名单；</w:t>
      </w:r>
    </w:p>
    <w:p w14:paraId="6A7346D2">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④</w:t>
      </w:r>
      <w:r>
        <w:rPr>
          <w:rFonts w:ascii="Times New Roman" w:hAnsi="Times New Roman" w:cs="Times New Roman"/>
          <w:color w:val="auto"/>
          <w:szCs w:val="22"/>
          <w:highlight w:val="none"/>
        </w:rPr>
        <w:t>在</w:t>
      </w:r>
      <w:r>
        <w:rPr>
          <w:rFonts w:hint="eastAsia" w:ascii="Times New Roman" w:hAnsi="Times New Roman" w:cs="Times New Roman"/>
          <w:color w:val="auto"/>
          <w:szCs w:val="22"/>
          <w:highlight w:val="none"/>
          <w:lang w:val="en-US" w:eastAsia="zh-CN"/>
        </w:rPr>
        <w:t>中国执行信息公开网(http://zxgk.court.gov.cn/index.jsp)</w:t>
      </w:r>
      <w:r>
        <w:rPr>
          <w:rFonts w:ascii="Times New Roman" w:hAnsi="Times New Roman" w:cs="Times New Roman"/>
          <w:color w:val="auto"/>
          <w:szCs w:val="22"/>
          <w:highlight w:val="none"/>
        </w:rPr>
        <w:t>中</w:t>
      </w:r>
      <w:r>
        <w:rPr>
          <w:rFonts w:hint="eastAsia" w:ascii="Times New Roman" w:hAnsi="Times New Roman" w:cs="Times New Roman"/>
          <w:color w:val="auto"/>
          <w:szCs w:val="22"/>
          <w:highlight w:val="none"/>
        </w:rPr>
        <w:t>未</w:t>
      </w:r>
      <w:r>
        <w:rPr>
          <w:rFonts w:ascii="Times New Roman" w:hAnsi="Times New Roman" w:cs="Times New Roman"/>
          <w:color w:val="auto"/>
          <w:szCs w:val="22"/>
          <w:highlight w:val="none"/>
        </w:rPr>
        <w:t>被列入失信被执行人名单；</w:t>
      </w:r>
    </w:p>
    <w:p w14:paraId="35AB6C27">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⑤</w:t>
      </w:r>
      <w:r>
        <w:rPr>
          <w:rFonts w:ascii="Times New Roman" w:hAnsi="Times New Roman" w:cs="Times New Roman"/>
          <w:color w:val="auto"/>
          <w:szCs w:val="22"/>
          <w:highlight w:val="none"/>
        </w:rPr>
        <w:t>在近三年内（自</w:t>
      </w:r>
      <w:r>
        <w:rPr>
          <w:rFonts w:hint="eastAsia" w:ascii="Times New Roman" w:hAnsi="Times New Roman" w:cs="Times New Roman"/>
          <w:color w:val="auto"/>
          <w:szCs w:val="22"/>
          <w:highlight w:val="none"/>
        </w:rPr>
        <w:t>响应文件递交截止之日</w:t>
      </w:r>
      <w:r>
        <w:rPr>
          <w:rFonts w:ascii="Times New Roman" w:hAnsi="Times New Roman" w:cs="Times New Roman"/>
          <w:color w:val="auto"/>
          <w:szCs w:val="22"/>
          <w:highlight w:val="none"/>
        </w:rPr>
        <w:t>向前追溯3年）供应商或其法定代表人、拟委</w:t>
      </w:r>
      <w:r>
        <w:rPr>
          <w:rFonts w:hint="eastAsia" w:ascii="Times New Roman" w:hAnsi="Times New Roman" w:cs="Times New Roman"/>
          <w:color w:val="auto"/>
          <w:szCs w:val="22"/>
          <w:highlight w:val="none"/>
          <w:lang w:val="en-US" w:eastAsia="zh-CN"/>
        </w:rPr>
        <w:t>派</w:t>
      </w:r>
      <w:r>
        <w:rPr>
          <w:rFonts w:ascii="Times New Roman" w:hAnsi="Times New Roman" w:cs="Times New Roman"/>
          <w:color w:val="auto"/>
          <w:szCs w:val="22"/>
          <w:highlight w:val="none"/>
        </w:rPr>
        <w:t>的项目</w:t>
      </w:r>
      <w:r>
        <w:rPr>
          <w:rFonts w:hint="eastAsia" w:ascii="Times New Roman" w:hAnsi="Times New Roman" w:cs="Times New Roman"/>
          <w:color w:val="auto"/>
          <w:szCs w:val="22"/>
          <w:highlight w:val="none"/>
        </w:rPr>
        <w:t>负责人未</w:t>
      </w:r>
      <w:r>
        <w:rPr>
          <w:rFonts w:ascii="Times New Roman" w:hAnsi="Times New Roman" w:cs="Times New Roman"/>
          <w:color w:val="auto"/>
          <w:szCs w:val="22"/>
          <w:highlight w:val="none"/>
        </w:rPr>
        <w:t>有行贿犯罪行为。</w:t>
      </w:r>
    </w:p>
    <w:p w14:paraId="6BB0A98A">
      <w:pPr>
        <w:snapToGrid w:val="0"/>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⑥其他要求：</w:t>
      </w:r>
      <w:r>
        <w:rPr>
          <w:rFonts w:hint="eastAsia" w:ascii="Times New Roman" w:hAnsi="Times New Roman" w:cs="Times New Roman"/>
          <w:color w:val="auto"/>
          <w:szCs w:val="22"/>
          <w:highlight w:val="none"/>
          <w:u w:val="single"/>
          <w:lang w:val="en-US" w:eastAsia="zh-CN"/>
        </w:rPr>
        <w:t xml:space="preserve">   </w:t>
      </w:r>
      <w:r>
        <w:rPr>
          <w:rFonts w:hint="eastAsia" w:ascii="Times New Roman" w:hAnsi="Times New Roman" w:cs="Times New Roman"/>
          <w:color w:val="auto"/>
          <w:sz w:val="18"/>
          <w:szCs w:val="21"/>
          <w:highlight w:val="none"/>
          <w:u w:val="single"/>
          <w:lang w:val="en-US" w:eastAsia="zh-CN"/>
        </w:rPr>
        <w:t xml:space="preserve">/   </w:t>
      </w:r>
      <w:r>
        <w:rPr>
          <w:rFonts w:hint="eastAsia" w:ascii="Times New Roman" w:hAnsi="Times New Roman"/>
          <w:color w:val="auto"/>
          <w:highlight w:val="none"/>
        </w:rPr>
        <w:t>。</w:t>
      </w:r>
    </w:p>
    <w:p w14:paraId="6687D593">
      <w:pPr>
        <w:snapToGrid w:val="0"/>
        <w:spacing w:line="440" w:lineRule="exact"/>
        <w:ind w:firstLine="420" w:firstLineChars="200"/>
        <w:rPr>
          <w:rFonts w:ascii="Times New Roman" w:hAnsi="Times New Roman" w:cs="Times New Roman"/>
          <w:color w:val="auto"/>
          <w:sz w:val="18"/>
          <w:szCs w:val="21"/>
          <w:highlight w:val="none"/>
        </w:rPr>
      </w:pPr>
      <w:r>
        <w:rPr>
          <w:rFonts w:ascii="Times New Roman" w:hAnsi="Times New Roman" w:cs="Times New Roman"/>
          <w:color w:val="auto"/>
          <w:szCs w:val="22"/>
          <w:highlight w:val="none"/>
        </w:rPr>
        <w:t>3.2 联合体：本次采购</w:t>
      </w:r>
      <w:r>
        <w:rPr>
          <w:rFonts w:hint="eastAsia" w:ascii="Times New Roman" w:hAnsi="Times New Roman" w:cs="Times New Roman"/>
          <w:color w:val="auto"/>
          <w:szCs w:val="22"/>
          <w:highlight w:val="none"/>
        </w:rPr>
        <w:t>不接受</w:t>
      </w:r>
      <w:r>
        <w:rPr>
          <w:rFonts w:ascii="Times New Roman" w:hAnsi="Times New Roman" w:cs="Times New Roman"/>
          <w:color w:val="auto"/>
          <w:szCs w:val="22"/>
          <w:highlight w:val="none"/>
        </w:rPr>
        <w:t>联合体报价。</w:t>
      </w:r>
    </w:p>
    <w:p w14:paraId="5F62567E">
      <w:pPr>
        <w:snapToGrid w:val="0"/>
        <w:spacing w:line="440" w:lineRule="exact"/>
        <w:ind w:firstLine="420" w:firstLineChars="200"/>
        <w:rPr>
          <w:rFonts w:ascii="Times New Roman" w:hAnsi="Times New Roman" w:cs="Times New Roman"/>
          <w:color w:val="auto"/>
          <w:sz w:val="18"/>
          <w:szCs w:val="21"/>
          <w:highlight w:val="none"/>
        </w:rPr>
      </w:pPr>
      <w:r>
        <w:rPr>
          <w:rFonts w:ascii="Times New Roman" w:hAnsi="Times New Roman" w:cs="Times New Roman"/>
          <w:color w:val="auto"/>
          <w:szCs w:val="22"/>
          <w:highlight w:val="none"/>
        </w:rPr>
        <w:t xml:space="preserve">3.3 </w:t>
      </w:r>
      <w:r>
        <w:rPr>
          <w:rFonts w:hint="default" w:ascii="Times New Roman" w:hAnsi="Times New Roman" w:cs="Times New Roman"/>
          <w:color w:val="auto"/>
          <w:sz w:val="21"/>
          <w:szCs w:val="22"/>
          <w:highlight w:val="none"/>
        </w:rPr>
        <w:t>存在关联关系的单位，不得同时参加同一合同包报价，否则相关响应文件均无效。关联关系定义：是指公司控股股东、实际控制人、董事、监事、高级管理人员与其直接或者间接控制的企业之间的关系，以及可能导致公司利益转移的其他关系。</w:t>
      </w:r>
    </w:p>
    <w:p w14:paraId="3C5FACED">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8" w:name="_Toc19101"/>
      <w:bookmarkStart w:id="29" w:name="_Toc29452_WPSOffice_Level2"/>
      <w:bookmarkStart w:id="30" w:name="_Toc2996_WPSOffice_Level2"/>
      <w:bookmarkStart w:id="31" w:name="_Toc4109_WPSOffice_Level2"/>
      <w:bookmarkStart w:id="32" w:name="_Toc525632588"/>
      <w:bookmarkStart w:id="33" w:name="_Toc1994"/>
      <w:bookmarkStart w:id="34" w:name="_Toc4751"/>
      <w:bookmarkStart w:id="35" w:name="_Toc25666_WPSOffice_Level2"/>
      <w:r>
        <w:rPr>
          <w:rFonts w:hint="eastAsia" w:ascii="Times New Roman" w:hAnsi="Times New Roman" w:eastAsia="黑体" w:cs="Times New Roman"/>
          <w:bCs w:val="0"/>
          <w:color w:val="auto"/>
          <w:sz w:val="22"/>
          <w:szCs w:val="15"/>
          <w:highlight w:val="none"/>
        </w:rPr>
        <w:t>询比文件</w:t>
      </w:r>
      <w:r>
        <w:rPr>
          <w:rFonts w:ascii="Times New Roman" w:hAnsi="Times New Roman" w:eastAsia="黑体" w:cs="Times New Roman"/>
          <w:bCs w:val="0"/>
          <w:color w:val="auto"/>
          <w:sz w:val="22"/>
          <w:szCs w:val="15"/>
          <w:highlight w:val="none"/>
        </w:rPr>
        <w:t>的获取</w:t>
      </w:r>
      <w:bookmarkEnd w:id="28"/>
    </w:p>
    <w:p w14:paraId="4771EE36">
      <w:pPr>
        <w:snapToGrid w:val="0"/>
        <w:spacing w:line="440" w:lineRule="exact"/>
        <w:ind w:firstLine="367" w:firstLineChars="175"/>
        <w:rPr>
          <w:rFonts w:hint="eastAsia" w:ascii="Times New Roman" w:hAnsi="Times New Roman" w:cs="Times New Roman" w:eastAsiaTheme="minorEastAsia"/>
          <w:color w:val="auto"/>
          <w:szCs w:val="22"/>
          <w:highlight w:val="none"/>
          <w:lang w:eastAsia="zh-CN"/>
        </w:rPr>
      </w:pPr>
      <w:r>
        <w:rPr>
          <w:rFonts w:ascii="Times New Roman" w:hAnsi="Times New Roman" w:cs="Times New Roman"/>
          <w:color w:val="auto"/>
          <w:szCs w:val="22"/>
          <w:highlight w:val="none"/>
        </w:rPr>
        <w:t>供应商应在递交响应文件的截止时间前登</w:t>
      </w:r>
      <w:r>
        <w:rPr>
          <w:rFonts w:ascii="Times New Roman" w:hAnsi="Times New Roman" w:cs="Times New Roman"/>
          <w:color w:val="auto"/>
          <w:szCs w:val="22"/>
          <w:highlight w:val="none"/>
          <w:u w:val="none"/>
        </w:rPr>
        <w:t>录</w:t>
      </w:r>
      <w:r>
        <w:rPr>
          <w:rFonts w:hint="eastAsia" w:ascii="Times New Roman" w:hAnsi="Times New Roman" w:cs="Times New Roman"/>
          <w:color w:val="auto"/>
          <w:szCs w:val="22"/>
          <w:highlight w:val="none"/>
          <w:u w:val="none"/>
        </w:rPr>
        <w:t>安徽安联高速公路有限公司官方网站</w:t>
      </w:r>
      <w:r>
        <w:rPr>
          <w:rFonts w:hint="eastAsia" w:ascii="Times New Roman" w:hAnsi="Times New Roman" w:cs="Times New Roman"/>
          <w:color w:val="auto"/>
          <w:szCs w:val="22"/>
          <w:highlight w:val="none"/>
          <w:u w:val="none"/>
          <w:lang w:val="en-US" w:eastAsia="zh-CN"/>
        </w:rPr>
        <w:t>(http://www.ahanlian.com/</w:t>
      </w:r>
      <w:r>
        <w:rPr>
          <w:rFonts w:hint="eastAsia" w:ascii="Times New Roman" w:hAnsi="Times New Roman" w:cs="Times New Roman"/>
          <w:color w:val="auto"/>
          <w:szCs w:val="22"/>
          <w:highlight w:val="none"/>
          <w:u w:val="single"/>
          <w:lang w:val="en-US" w:eastAsia="zh-CN"/>
        </w:rPr>
        <w:t>)</w:t>
      </w:r>
      <w:r>
        <w:rPr>
          <w:rFonts w:ascii="Times New Roman" w:hAnsi="Times New Roman" w:cs="Times New Roman"/>
          <w:color w:val="auto"/>
          <w:szCs w:val="22"/>
          <w:highlight w:val="none"/>
        </w:rPr>
        <w:t>，选择所参加的</w:t>
      </w:r>
      <w:r>
        <w:rPr>
          <w:rFonts w:hint="eastAsia" w:ascii="Times New Roman" w:hAnsi="Times New Roman" w:cs="Times New Roman"/>
          <w:color w:val="auto"/>
          <w:szCs w:val="22"/>
          <w:highlight w:val="none"/>
        </w:rPr>
        <w:t>项目</w:t>
      </w:r>
      <w:r>
        <w:rPr>
          <w:rFonts w:ascii="Times New Roman" w:hAnsi="Times New Roman" w:cs="Times New Roman"/>
          <w:color w:val="auto"/>
          <w:szCs w:val="22"/>
          <w:highlight w:val="none"/>
        </w:rPr>
        <w:t>，自行下载</w:t>
      </w:r>
      <w:r>
        <w:rPr>
          <w:rFonts w:hint="eastAsia" w:ascii="Times New Roman" w:hAnsi="Times New Roman" w:cs="Times New Roman"/>
          <w:color w:val="auto"/>
          <w:szCs w:val="22"/>
          <w:highlight w:val="none"/>
        </w:rPr>
        <w:t>询比文件</w:t>
      </w:r>
      <w:r>
        <w:rPr>
          <w:rFonts w:ascii="Times New Roman" w:hAnsi="Times New Roman" w:cs="Times New Roman"/>
          <w:color w:val="auto"/>
          <w:szCs w:val="22"/>
          <w:highlight w:val="none"/>
        </w:rPr>
        <w:t>及相关资料</w:t>
      </w:r>
      <w:r>
        <w:rPr>
          <w:rFonts w:ascii="Times New Roman" w:hAnsi="Times New Roman" w:cs="Times New Roman"/>
          <w:color w:val="auto"/>
          <w:szCs w:val="21"/>
          <w:highlight w:val="none"/>
        </w:rPr>
        <w:t>。</w:t>
      </w:r>
    </w:p>
    <w:p w14:paraId="0B8DD07B">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6" w:name="_Toc2181"/>
      <w:r>
        <w:rPr>
          <w:rFonts w:ascii="Times New Roman" w:hAnsi="Times New Roman" w:eastAsia="黑体" w:cs="Times New Roman"/>
          <w:bCs w:val="0"/>
          <w:color w:val="auto"/>
          <w:sz w:val="22"/>
          <w:szCs w:val="15"/>
          <w:highlight w:val="none"/>
        </w:rPr>
        <w:t>响应文件的递交</w:t>
      </w:r>
      <w:bookmarkEnd w:id="36"/>
    </w:p>
    <w:p w14:paraId="7E19FD9A">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2025</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12</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 3 </w:t>
      </w:r>
      <w:r>
        <w:rPr>
          <w:rFonts w:ascii="Times New Roman" w:hAnsi="Times New Roman" w:cs="Times New Roman"/>
          <w:color w:val="auto"/>
          <w:szCs w:val="22"/>
          <w:highlight w:val="none"/>
        </w:rPr>
        <w:t>日</w:t>
      </w:r>
      <w:r>
        <w:rPr>
          <w:rFonts w:hint="eastAsia" w:ascii="Times New Roman" w:hAnsi="Times New Roman" w:cs="Times New Roman"/>
          <w:color w:val="auto"/>
          <w:szCs w:val="22"/>
          <w:highlight w:val="none"/>
          <w:u w:val="single"/>
          <w:lang w:val="en-US" w:eastAsia="zh-CN"/>
        </w:rPr>
        <w:t>10</w:t>
      </w:r>
      <w:r>
        <w:rPr>
          <w:rFonts w:ascii="Times New Roman" w:hAnsi="Times New Roman" w:cs="Times New Roman"/>
          <w:color w:val="auto"/>
          <w:szCs w:val="22"/>
          <w:highlight w:val="none"/>
        </w:rPr>
        <w:t>时</w:t>
      </w:r>
      <w:r>
        <w:rPr>
          <w:rFonts w:hint="eastAsia" w:ascii="Times New Roman" w:hAnsi="Times New Roman" w:cs="Times New Roman"/>
          <w:color w:val="auto"/>
          <w:szCs w:val="22"/>
          <w:highlight w:val="none"/>
          <w:u w:val="single"/>
          <w:lang w:val="en-US" w:eastAsia="zh-CN"/>
        </w:rPr>
        <w:t>00</w:t>
      </w:r>
      <w:r>
        <w:rPr>
          <w:rFonts w:ascii="Times New Roman" w:hAnsi="Times New Roman" w:cs="Times New Roman"/>
          <w:color w:val="auto"/>
          <w:szCs w:val="22"/>
          <w:highlight w:val="none"/>
        </w:rPr>
        <w:t>分，供应商的法定代表人或其授权代理人应于</w:t>
      </w:r>
      <w:r>
        <w:rPr>
          <w:rFonts w:hint="eastAsia" w:ascii="Times New Roman" w:hAnsi="Times New Roman" w:cs="Times New Roman"/>
          <w:color w:val="auto"/>
          <w:szCs w:val="22"/>
          <w:highlight w:val="none"/>
          <w:u w:val="single"/>
          <w:lang w:val="en-US" w:eastAsia="zh-CN"/>
        </w:rPr>
        <w:t>2025</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12</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 3 </w:t>
      </w:r>
      <w:r>
        <w:rPr>
          <w:rFonts w:ascii="Times New Roman" w:hAnsi="Times New Roman" w:cs="Times New Roman"/>
          <w:color w:val="auto"/>
          <w:szCs w:val="22"/>
          <w:highlight w:val="none"/>
        </w:rPr>
        <w:t>日</w:t>
      </w:r>
      <w:r>
        <w:rPr>
          <w:rFonts w:hint="eastAsia" w:ascii="Times New Roman" w:hAnsi="Times New Roman" w:cs="Times New Roman"/>
          <w:color w:val="auto"/>
          <w:szCs w:val="22"/>
          <w:highlight w:val="none"/>
          <w:u w:val="single"/>
          <w:lang w:val="en-US" w:eastAsia="zh-CN"/>
        </w:rPr>
        <w:t>9</w:t>
      </w:r>
      <w:r>
        <w:rPr>
          <w:rFonts w:ascii="Times New Roman" w:hAnsi="Times New Roman" w:cs="Times New Roman"/>
          <w:color w:val="auto"/>
          <w:szCs w:val="22"/>
          <w:highlight w:val="none"/>
        </w:rPr>
        <w:t>时</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rPr>
        <w:t>至</w:t>
      </w:r>
      <w:r>
        <w:rPr>
          <w:rFonts w:hint="eastAsia" w:ascii="Times New Roman" w:hAnsi="Times New Roman" w:cs="Times New Roman"/>
          <w:color w:val="auto"/>
          <w:szCs w:val="22"/>
          <w:highlight w:val="none"/>
          <w:u w:val="single"/>
          <w:lang w:val="en-US" w:eastAsia="zh-CN"/>
        </w:rPr>
        <w:t>2025</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12</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 3 </w:t>
      </w:r>
      <w:r>
        <w:rPr>
          <w:rFonts w:ascii="Times New Roman" w:hAnsi="Times New Roman" w:cs="Times New Roman"/>
          <w:color w:val="auto"/>
          <w:szCs w:val="22"/>
          <w:highlight w:val="none"/>
        </w:rPr>
        <w:t>日</w:t>
      </w:r>
      <w:r>
        <w:rPr>
          <w:rFonts w:hint="eastAsia" w:ascii="Times New Roman" w:hAnsi="Times New Roman" w:cs="Times New Roman"/>
          <w:color w:val="auto"/>
          <w:szCs w:val="22"/>
          <w:highlight w:val="none"/>
          <w:u w:val="single"/>
          <w:lang w:val="en-US" w:eastAsia="zh-CN"/>
        </w:rPr>
        <w:t>10</w:t>
      </w:r>
      <w:r>
        <w:rPr>
          <w:rFonts w:ascii="Times New Roman" w:hAnsi="Times New Roman" w:cs="Times New Roman"/>
          <w:color w:val="auto"/>
          <w:szCs w:val="22"/>
          <w:highlight w:val="none"/>
        </w:rPr>
        <w:t>时</w:t>
      </w:r>
      <w:r>
        <w:rPr>
          <w:rFonts w:hint="eastAsia" w:ascii="Times New Roman" w:hAnsi="Times New Roman" w:cs="Times New Roman"/>
          <w:color w:val="auto"/>
          <w:szCs w:val="22"/>
          <w:highlight w:val="none"/>
          <w:u w:val="single"/>
          <w:lang w:val="en-US" w:eastAsia="zh-CN"/>
        </w:rPr>
        <w:t>00</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rPr>
        <w:t>（</w:t>
      </w:r>
      <w:r>
        <w:rPr>
          <w:rFonts w:ascii="Times New Roman" w:hAnsi="Times New Roman" w:cs="Times New Roman"/>
          <w:color w:val="auto"/>
          <w:szCs w:val="22"/>
          <w:highlight w:val="none"/>
        </w:rPr>
        <w:t>递交的截止时间</w:t>
      </w:r>
      <w:r>
        <w:rPr>
          <w:rFonts w:hint="eastAsia" w:ascii="Times New Roman" w:hAnsi="Times New Roman" w:cs="Times New Roman"/>
          <w:color w:val="auto"/>
          <w:szCs w:val="22"/>
          <w:highlight w:val="none"/>
        </w:rPr>
        <w:t>）</w:t>
      </w:r>
      <w:r>
        <w:rPr>
          <w:rFonts w:ascii="Times New Roman" w:hAnsi="Times New Roman" w:cs="Times New Roman"/>
          <w:color w:val="auto"/>
          <w:szCs w:val="22"/>
          <w:highlight w:val="none"/>
        </w:rPr>
        <w:t>将响应文件</w:t>
      </w:r>
      <w:r>
        <w:rPr>
          <w:rFonts w:hint="eastAsia" w:ascii="Times New Roman" w:hAnsi="Times New Roman" w:cs="Times New Roman"/>
          <w:color w:val="auto"/>
          <w:szCs w:val="22"/>
          <w:highlight w:val="none"/>
        </w:rPr>
        <w:t>递交</w:t>
      </w:r>
      <w:r>
        <w:rPr>
          <w:rFonts w:hint="eastAsia" w:ascii="Times New Roman" w:hAnsi="Times New Roman" w:cs="Times New Roman"/>
          <w:color w:val="auto"/>
          <w:szCs w:val="22"/>
          <w:highlight w:val="none"/>
          <w:lang w:val="en-US" w:eastAsia="zh-CN"/>
        </w:rPr>
        <w:t>至</w:t>
      </w:r>
      <w:r>
        <w:rPr>
          <w:rFonts w:hint="eastAsia" w:ascii="Times New Roman" w:hAnsi="Times New Roman" w:cs="Times New Roman"/>
          <w:color w:val="auto"/>
          <w:szCs w:val="22"/>
          <w:highlight w:val="none"/>
          <w:u w:val="single"/>
        </w:rPr>
        <w:t>深圳市光明区观光路</w:t>
      </w:r>
      <w:r>
        <w:rPr>
          <w:rFonts w:hint="eastAsia" w:ascii="Times New Roman" w:hAnsi="Times New Roman" w:cs="Times New Roman"/>
          <w:color w:val="auto"/>
          <w:szCs w:val="22"/>
          <w:highlight w:val="none"/>
          <w:u w:val="single"/>
          <w:lang w:val="en-US" w:eastAsia="zh-CN"/>
        </w:rPr>
        <w:t>邦凯</w:t>
      </w:r>
      <w:r>
        <w:rPr>
          <w:rFonts w:hint="eastAsia" w:ascii="Times New Roman" w:hAnsi="Times New Roman" w:cs="Times New Roman"/>
          <w:color w:val="auto"/>
          <w:szCs w:val="22"/>
          <w:highlight w:val="none"/>
          <w:u w:val="single"/>
        </w:rPr>
        <w:t>科技园</w:t>
      </w:r>
      <w:r>
        <w:rPr>
          <w:rFonts w:hint="eastAsia" w:ascii="Times New Roman" w:hAnsi="Times New Roman" w:cs="Times New Roman"/>
          <w:color w:val="auto"/>
          <w:szCs w:val="22"/>
          <w:highlight w:val="none"/>
          <w:u w:val="single"/>
          <w:lang w:val="en-US" w:eastAsia="zh-CN"/>
        </w:rPr>
        <w:t>4#楼</w:t>
      </w:r>
      <w:r>
        <w:rPr>
          <w:rFonts w:hint="eastAsia" w:ascii="Times New Roman" w:hAnsi="Times New Roman" w:cs="Times New Roman"/>
          <w:color w:val="auto"/>
          <w:szCs w:val="22"/>
          <w:highlight w:val="none"/>
          <w:u w:val="single"/>
        </w:rPr>
        <w:t>B座</w:t>
      </w:r>
      <w:r>
        <w:rPr>
          <w:rFonts w:hint="eastAsia" w:ascii="Times New Roman" w:hAnsi="Times New Roman" w:cs="Times New Roman"/>
          <w:color w:val="auto"/>
          <w:szCs w:val="22"/>
          <w:highlight w:val="none"/>
          <w:u w:val="single"/>
          <w:lang w:val="en-US" w:eastAsia="zh-CN"/>
        </w:rPr>
        <w:t>9楼</w:t>
      </w:r>
      <w:r>
        <w:rPr>
          <w:rFonts w:hint="eastAsia" w:ascii="Times New Roman" w:hAnsi="Times New Roman" w:cs="Times New Roman"/>
          <w:color w:val="auto"/>
          <w:szCs w:val="22"/>
          <w:highlight w:val="none"/>
          <w:u w:val="single"/>
        </w:rPr>
        <w:t>907室</w:t>
      </w:r>
      <w:r>
        <w:rPr>
          <w:rFonts w:ascii="Times New Roman" w:hAnsi="Times New Roman" w:cs="Times New Roman"/>
          <w:color w:val="auto"/>
          <w:szCs w:val="22"/>
          <w:highlight w:val="none"/>
        </w:rPr>
        <w:t>。</w:t>
      </w:r>
    </w:p>
    <w:p w14:paraId="79037AF4">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7" w:name="_Toc28069"/>
      <w:r>
        <w:rPr>
          <w:rFonts w:ascii="Times New Roman" w:hAnsi="Times New Roman" w:eastAsia="黑体" w:cs="Times New Roman"/>
          <w:bCs w:val="0"/>
          <w:color w:val="auto"/>
          <w:sz w:val="22"/>
          <w:szCs w:val="15"/>
          <w:highlight w:val="none"/>
        </w:rPr>
        <w:t>响应文件启封</w:t>
      </w:r>
      <w:bookmarkEnd w:id="37"/>
    </w:p>
    <w:p w14:paraId="77D78869">
      <w:pPr>
        <w:snapToGrid w:val="0"/>
        <w:spacing w:line="440" w:lineRule="exact"/>
        <w:ind w:firstLine="420" w:firstLineChars="200"/>
        <w:rPr>
          <w:rFonts w:ascii="Times New Roman" w:hAnsi="Times New Roman" w:eastAsia="宋体" w:cs="Times New Roman"/>
          <w:color w:val="auto"/>
          <w:szCs w:val="22"/>
          <w:highlight w:val="none"/>
        </w:rPr>
      </w:pPr>
      <w:r>
        <w:rPr>
          <w:rFonts w:hint="eastAsia" w:ascii="Times New Roman" w:hAnsi="Times New Roman" w:cs="Times New Roman"/>
          <w:color w:val="auto"/>
          <w:szCs w:val="22"/>
          <w:highlight w:val="none"/>
          <w:lang w:val="en-US" w:eastAsia="zh-CN"/>
        </w:rPr>
        <w:t>采购人将于响应文件的递交截止时间的同一时间，</w:t>
      </w:r>
      <w:r>
        <w:rPr>
          <w:rFonts w:ascii="Times New Roman" w:hAnsi="Times New Roman" w:cs="Times New Roman"/>
          <w:color w:val="auto"/>
          <w:szCs w:val="22"/>
          <w:highlight w:val="none"/>
        </w:rPr>
        <w:t>于</w:t>
      </w:r>
      <w:r>
        <w:rPr>
          <w:rFonts w:hint="eastAsia" w:ascii="Times New Roman" w:hAnsi="Times New Roman" w:cs="Times New Roman"/>
          <w:color w:val="auto"/>
          <w:szCs w:val="22"/>
          <w:highlight w:val="none"/>
          <w:u w:val="single"/>
        </w:rPr>
        <w:t>深圳市光明区观光路</w:t>
      </w:r>
      <w:r>
        <w:rPr>
          <w:rFonts w:hint="eastAsia" w:ascii="Times New Roman" w:hAnsi="Times New Roman" w:cs="Times New Roman"/>
          <w:color w:val="auto"/>
          <w:szCs w:val="22"/>
          <w:highlight w:val="none"/>
          <w:u w:val="single"/>
          <w:lang w:val="en-US" w:eastAsia="zh-CN"/>
        </w:rPr>
        <w:t>邦凯</w:t>
      </w:r>
      <w:r>
        <w:rPr>
          <w:rFonts w:hint="eastAsia" w:ascii="Times New Roman" w:hAnsi="Times New Roman" w:cs="Times New Roman"/>
          <w:color w:val="auto"/>
          <w:szCs w:val="22"/>
          <w:highlight w:val="none"/>
          <w:u w:val="single"/>
        </w:rPr>
        <w:t>科技园</w:t>
      </w:r>
      <w:r>
        <w:rPr>
          <w:rFonts w:hint="eastAsia" w:ascii="Times New Roman" w:hAnsi="Times New Roman" w:cs="Times New Roman"/>
          <w:color w:val="auto"/>
          <w:szCs w:val="22"/>
          <w:highlight w:val="none"/>
          <w:u w:val="single"/>
          <w:lang w:val="en-US" w:eastAsia="zh-CN"/>
        </w:rPr>
        <w:t>4#楼</w:t>
      </w:r>
      <w:r>
        <w:rPr>
          <w:rFonts w:hint="eastAsia" w:ascii="Times New Roman" w:hAnsi="Times New Roman" w:cs="Times New Roman"/>
          <w:color w:val="auto"/>
          <w:szCs w:val="22"/>
          <w:highlight w:val="none"/>
          <w:u w:val="single"/>
        </w:rPr>
        <w:t>B座</w:t>
      </w:r>
      <w:r>
        <w:rPr>
          <w:rFonts w:hint="eastAsia" w:ascii="Times New Roman" w:hAnsi="Times New Roman" w:cs="Times New Roman"/>
          <w:color w:val="auto"/>
          <w:szCs w:val="22"/>
          <w:highlight w:val="none"/>
          <w:u w:val="single"/>
          <w:lang w:val="en-US" w:eastAsia="zh-CN"/>
        </w:rPr>
        <w:t>9楼</w:t>
      </w:r>
      <w:r>
        <w:rPr>
          <w:rFonts w:hint="eastAsia" w:ascii="Times New Roman" w:hAnsi="Times New Roman" w:cs="Times New Roman"/>
          <w:color w:val="auto"/>
          <w:szCs w:val="22"/>
          <w:highlight w:val="none"/>
          <w:u w:val="single"/>
        </w:rPr>
        <w:t>907室</w:t>
      </w:r>
      <w:r>
        <w:rPr>
          <w:rFonts w:ascii="Times New Roman" w:hAnsi="Times New Roman" w:cs="Times New Roman"/>
          <w:color w:val="auto"/>
          <w:szCs w:val="22"/>
          <w:highlight w:val="none"/>
        </w:rPr>
        <w:t>组织进行响应文件的启封。供应商的法定代表人或授权代理人应携带本人身份证</w:t>
      </w:r>
      <w:r>
        <w:rPr>
          <w:rFonts w:hint="eastAsia" w:ascii="Times New Roman" w:hAnsi="Times New Roman" w:cs="Times New Roman"/>
          <w:color w:val="auto"/>
          <w:szCs w:val="22"/>
          <w:highlight w:val="none"/>
        </w:rPr>
        <w:t>、授权代理人应携带授权委托书</w:t>
      </w:r>
      <w:r>
        <w:rPr>
          <w:rFonts w:ascii="Times New Roman" w:hAnsi="Times New Roman" w:cs="Times New Roman"/>
          <w:color w:val="auto"/>
          <w:szCs w:val="22"/>
          <w:highlight w:val="none"/>
        </w:rPr>
        <w:t>准时参加启封会议。</w:t>
      </w:r>
    </w:p>
    <w:bookmarkEnd w:id="29"/>
    <w:bookmarkEnd w:id="30"/>
    <w:bookmarkEnd w:id="31"/>
    <w:bookmarkEnd w:id="32"/>
    <w:bookmarkEnd w:id="33"/>
    <w:bookmarkEnd w:id="34"/>
    <w:bookmarkEnd w:id="35"/>
    <w:p w14:paraId="51219B32">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8" w:name="_Toc18158"/>
      <w:bookmarkStart w:id="39" w:name="_Toc22719"/>
      <w:bookmarkStart w:id="40" w:name="_Toc525632591"/>
      <w:r>
        <w:rPr>
          <w:rFonts w:hint="eastAsia" w:ascii="Times New Roman" w:hAnsi="Times New Roman" w:eastAsia="黑体" w:cs="Times New Roman"/>
          <w:bCs w:val="0"/>
          <w:color w:val="auto"/>
          <w:sz w:val="22"/>
          <w:szCs w:val="15"/>
          <w:highlight w:val="none"/>
        </w:rPr>
        <w:t>响应保证金</w:t>
      </w:r>
      <w:bookmarkEnd w:id="38"/>
    </w:p>
    <w:p w14:paraId="281F661A">
      <w:pPr>
        <w:snapToGrid w:val="0"/>
        <w:spacing w:line="440" w:lineRule="exact"/>
        <w:ind w:firstLine="420" w:firstLineChars="200"/>
        <w:rPr>
          <w:rFonts w:hint="default" w:ascii="Times New Roman" w:hAnsi="Times New Roman" w:eastAsiaTheme="minorEastAsia"/>
          <w:color w:val="auto"/>
          <w:highlight w:val="none"/>
          <w:u w:val="single"/>
          <w:lang w:val="en-US" w:eastAsia="zh-CN"/>
        </w:rPr>
      </w:pPr>
      <w:r>
        <w:rPr>
          <w:rFonts w:hint="eastAsia" w:ascii="Times New Roman" w:hAnsi="Times New Roman"/>
          <w:color w:val="auto"/>
          <w:highlight w:val="none"/>
        </w:rPr>
        <w:t>响应保证金的金额：</w:t>
      </w:r>
      <w:r>
        <w:rPr>
          <w:rFonts w:hint="eastAsia" w:ascii="Times New Roman" w:hAnsi="Times New Roman"/>
          <w:color w:val="auto"/>
          <w:highlight w:val="none"/>
          <w:u w:val="single"/>
          <w:lang w:val="en-US" w:eastAsia="zh-CN"/>
        </w:rPr>
        <w:t xml:space="preserve">    /     </w:t>
      </w:r>
    </w:p>
    <w:p w14:paraId="6EAA97DB">
      <w:pPr>
        <w:snapToGrid w:val="0"/>
        <w:spacing w:line="44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响应保证金的递交形式：银行转账/银行保函</w:t>
      </w:r>
    </w:p>
    <w:p w14:paraId="532817E8">
      <w:pPr>
        <w:snapToGrid w:val="0"/>
        <w:spacing w:line="44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递交账号：</w:t>
      </w:r>
      <w:r>
        <w:rPr>
          <w:rFonts w:hint="eastAsia" w:ascii="Times New Roman" w:hAnsi="Times New Roman"/>
          <w:color w:val="auto"/>
          <w:highlight w:val="none"/>
          <w:u w:val="single"/>
          <w:lang w:val="en-US" w:eastAsia="zh-CN"/>
        </w:rPr>
        <w:t xml:space="preserve">    /     </w:t>
      </w:r>
    </w:p>
    <w:p w14:paraId="5861AE75">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olor w:val="auto"/>
          <w:highlight w:val="none"/>
        </w:rPr>
        <w:t>递交截止时间：</w:t>
      </w:r>
      <w:r>
        <w:rPr>
          <w:rFonts w:hint="eastAsia" w:ascii="Times New Roman" w:hAnsi="Times New Roman"/>
          <w:color w:val="auto"/>
          <w:highlight w:val="none"/>
          <w:u w:val="single"/>
          <w:lang w:val="en-US" w:eastAsia="zh-CN"/>
        </w:rPr>
        <w:t xml:space="preserve">    /     </w:t>
      </w:r>
    </w:p>
    <w:p w14:paraId="5E7AAB98">
      <w:pPr>
        <w:snapToGrid w:val="0"/>
        <w:spacing w:line="440" w:lineRule="exact"/>
        <w:ind w:firstLine="420" w:firstLineChars="200"/>
        <w:rPr>
          <w:color w:val="auto"/>
          <w:highlight w:val="none"/>
        </w:rPr>
      </w:pPr>
      <w:r>
        <w:rPr>
          <w:rFonts w:hint="eastAsia" w:ascii="Times New Roman" w:hAnsi="Times New Roman"/>
          <w:color w:val="auto"/>
          <w:highlight w:val="none"/>
        </w:rPr>
        <w:t>供应商</w:t>
      </w:r>
      <w:r>
        <w:rPr>
          <w:rFonts w:ascii="Times New Roman" w:hAnsi="Times New Roman" w:cs="Times New Roman"/>
          <w:color w:val="auto"/>
          <w:szCs w:val="22"/>
          <w:highlight w:val="none"/>
        </w:rPr>
        <w:t>完成</w:t>
      </w:r>
      <w:r>
        <w:rPr>
          <w:rFonts w:hint="eastAsia" w:ascii="Times New Roman" w:hAnsi="Times New Roman"/>
          <w:color w:val="auto"/>
          <w:highlight w:val="none"/>
        </w:rPr>
        <w:t>转账的银行账户名称应与供应商的单位名称一致。</w:t>
      </w:r>
      <w:r>
        <w:rPr>
          <w:rFonts w:hint="eastAsia" w:ascii="Times New Roman" w:hAnsi="Times New Roman"/>
          <w:color w:val="auto"/>
          <w:highlight w:val="none"/>
          <w:lang w:val="en-US" w:eastAsia="zh-CN"/>
        </w:rPr>
        <w:t>采用银行保函时，应由供应商开立基本账户的银行开具。</w:t>
      </w:r>
    </w:p>
    <w:p w14:paraId="431323FD">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1" w:name="_Toc12678"/>
      <w:r>
        <w:rPr>
          <w:rFonts w:ascii="Times New Roman" w:hAnsi="Times New Roman" w:eastAsia="黑体" w:cs="Times New Roman"/>
          <w:bCs w:val="0"/>
          <w:color w:val="auto"/>
          <w:sz w:val="22"/>
          <w:szCs w:val="15"/>
          <w:highlight w:val="none"/>
        </w:rPr>
        <w:t>发布公告的媒介</w:t>
      </w:r>
      <w:bookmarkEnd w:id="39"/>
      <w:bookmarkEnd w:id="40"/>
      <w:bookmarkEnd w:id="41"/>
    </w:p>
    <w:p w14:paraId="450B90CC">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本次采购公告在</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安徽安联高速公路有限公司网站</w:t>
      </w:r>
      <w:r>
        <w:rPr>
          <w:rFonts w:ascii="Times New Roman" w:hAnsi="Times New Roman" w:cs="Times New Roman"/>
          <w:color w:val="auto"/>
          <w:szCs w:val="22"/>
          <w:highlight w:val="none"/>
          <w:u w:val="single"/>
        </w:rPr>
        <w:t>（网址</w:t>
      </w:r>
      <w:r>
        <w:rPr>
          <w:rFonts w:hint="eastAsia" w:ascii="Times New Roman" w:hAnsi="Times New Roman" w:cs="Times New Roman"/>
          <w:color w:val="auto"/>
          <w:szCs w:val="22"/>
          <w:highlight w:val="none"/>
          <w:u w:val="single"/>
          <w:lang w:eastAsia="zh-CN"/>
        </w:rPr>
        <w:t>：http://www.ahanlian.com/</w:t>
      </w:r>
      <w:r>
        <w:rPr>
          <w:rFonts w:ascii="Times New Roman" w:hAnsi="Times New Roman" w:cs="Times New Roman"/>
          <w:color w:val="auto"/>
          <w:szCs w:val="22"/>
          <w:highlight w:val="none"/>
          <w:u w:val="single"/>
        </w:rPr>
        <w:t>）</w:t>
      </w:r>
      <w:r>
        <w:rPr>
          <w:rFonts w:ascii="Times New Roman" w:hAnsi="Times New Roman" w:cs="Times New Roman"/>
          <w:color w:val="auto"/>
          <w:szCs w:val="22"/>
          <w:highlight w:val="none"/>
        </w:rPr>
        <w:t>上发布。</w:t>
      </w:r>
    </w:p>
    <w:p w14:paraId="19FFD5EF">
      <w:pPr>
        <w:pStyle w:val="4"/>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2" w:name="_Toc525632592"/>
      <w:bookmarkStart w:id="43" w:name="_Toc14943_WPSOffice_Level2"/>
      <w:bookmarkStart w:id="44" w:name="_Toc28571_WPSOffice_Level2"/>
      <w:bookmarkStart w:id="45" w:name="_Toc20572_WPSOffice_Level2"/>
      <w:bookmarkStart w:id="46" w:name="_Toc26829"/>
      <w:bookmarkStart w:id="47" w:name="_Toc8501"/>
      <w:bookmarkStart w:id="48" w:name="_Toc321_WPSOffice_Level2"/>
      <w:bookmarkStart w:id="49" w:name="_Toc7443"/>
      <w:r>
        <w:rPr>
          <w:rFonts w:ascii="Times New Roman" w:hAnsi="Times New Roman" w:eastAsia="黑体" w:cs="Times New Roman"/>
          <w:bCs w:val="0"/>
          <w:color w:val="auto"/>
          <w:sz w:val="22"/>
          <w:szCs w:val="15"/>
          <w:highlight w:val="none"/>
        </w:rPr>
        <w:t>采购人联系方式</w:t>
      </w:r>
      <w:bookmarkEnd w:id="42"/>
      <w:bookmarkEnd w:id="43"/>
      <w:bookmarkEnd w:id="44"/>
      <w:bookmarkEnd w:id="45"/>
      <w:bookmarkEnd w:id="46"/>
      <w:bookmarkEnd w:id="47"/>
      <w:bookmarkEnd w:id="48"/>
      <w:bookmarkEnd w:id="49"/>
    </w:p>
    <w:p w14:paraId="6251347C">
      <w:pPr>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采 购 人：</w:t>
      </w:r>
      <w:r>
        <w:rPr>
          <w:rFonts w:hint="eastAsia" w:ascii="Times New Roman" w:hAnsi="Times New Roman" w:cs="Times New Roman"/>
          <w:color w:val="auto"/>
          <w:szCs w:val="22"/>
          <w:highlight w:val="none"/>
          <w:u w:val="single"/>
        </w:rPr>
        <w:t>深圳市安之联置业有限公司</w:t>
      </w:r>
    </w:p>
    <w:p w14:paraId="1E921F9E">
      <w:pPr>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地    址：</w:t>
      </w:r>
      <w:r>
        <w:rPr>
          <w:rFonts w:hint="eastAsia" w:ascii="Times New Roman" w:hAnsi="Times New Roman" w:cs="Times New Roman"/>
          <w:color w:val="auto"/>
          <w:szCs w:val="22"/>
          <w:highlight w:val="none"/>
          <w:u w:val="single"/>
        </w:rPr>
        <w:t>深圳市光明区观光路</w:t>
      </w:r>
      <w:r>
        <w:rPr>
          <w:rFonts w:hint="eastAsia" w:ascii="Times New Roman" w:hAnsi="Times New Roman" w:cs="Times New Roman"/>
          <w:color w:val="auto"/>
          <w:szCs w:val="22"/>
          <w:highlight w:val="none"/>
          <w:u w:val="single"/>
          <w:lang w:val="en-US" w:eastAsia="zh-CN"/>
        </w:rPr>
        <w:t>邦凯</w:t>
      </w:r>
      <w:r>
        <w:rPr>
          <w:rFonts w:hint="eastAsia" w:ascii="Times New Roman" w:hAnsi="Times New Roman" w:cs="Times New Roman"/>
          <w:color w:val="auto"/>
          <w:szCs w:val="22"/>
          <w:highlight w:val="none"/>
          <w:u w:val="single"/>
        </w:rPr>
        <w:t>科技园4#楼B座9楼907室</w:t>
      </w:r>
    </w:p>
    <w:p w14:paraId="1C72CE99">
      <w:pPr>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邮政编码：</w:t>
      </w:r>
      <w:r>
        <w:rPr>
          <w:rFonts w:hint="eastAsia" w:ascii="Times New Roman" w:hAnsi="Times New Roman" w:cs="Times New Roman"/>
          <w:color w:val="auto"/>
          <w:szCs w:val="22"/>
          <w:highlight w:val="none"/>
          <w:u w:val="single"/>
        </w:rPr>
        <w:t>518107</w:t>
      </w:r>
    </w:p>
    <w:p w14:paraId="5B481143">
      <w:pPr>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联 系 人：</w:t>
      </w:r>
      <w:r>
        <w:rPr>
          <w:rFonts w:hint="eastAsia" w:ascii="Times New Roman" w:hAnsi="Times New Roman" w:cs="Times New Roman"/>
          <w:color w:val="auto"/>
          <w:szCs w:val="22"/>
          <w:highlight w:val="none"/>
          <w:u w:val="single"/>
          <w:lang w:val="en-US" w:eastAsia="zh-CN"/>
        </w:rPr>
        <w:t>池</w:t>
      </w:r>
      <w:r>
        <w:rPr>
          <w:rFonts w:hint="eastAsia" w:ascii="Times New Roman" w:hAnsi="Times New Roman" w:cs="Times New Roman"/>
          <w:color w:val="auto"/>
          <w:szCs w:val="22"/>
          <w:highlight w:val="none"/>
          <w:u w:val="single"/>
        </w:rPr>
        <w:t>工</w:t>
      </w:r>
      <w:r>
        <w:rPr>
          <w:rFonts w:ascii="Times New Roman" w:hAnsi="Times New Roman" w:cs="Times New Roman"/>
          <w:color w:val="auto"/>
          <w:szCs w:val="22"/>
          <w:highlight w:val="none"/>
        </w:rPr>
        <w:t xml:space="preserve">  </w:t>
      </w:r>
    </w:p>
    <w:p w14:paraId="269FAD8A">
      <w:pPr>
        <w:spacing w:line="440" w:lineRule="exact"/>
        <w:ind w:firstLine="420" w:firstLineChars="200"/>
        <w:rPr>
          <w:rFonts w:ascii="Times New Roman" w:hAnsi="Times New Roman" w:cs="Times New Roman"/>
          <w:color w:val="auto"/>
          <w:szCs w:val="22"/>
          <w:highlight w:val="none"/>
          <w:u w:val="single"/>
        </w:rPr>
      </w:pPr>
      <w:r>
        <w:rPr>
          <w:rFonts w:ascii="Times New Roman" w:hAnsi="Times New Roman" w:cs="Times New Roman"/>
          <w:color w:val="auto"/>
          <w:szCs w:val="22"/>
          <w:highlight w:val="none"/>
        </w:rPr>
        <w:t>电    话：</w:t>
      </w:r>
      <w:r>
        <w:rPr>
          <w:rFonts w:hint="eastAsia" w:ascii="Times New Roman" w:hAnsi="Times New Roman" w:cs="Times New Roman"/>
          <w:color w:val="auto"/>
          <w:szCs w:val="22"/>
          <w:highlight w:val="none"/>
          <w:lang w:val="en-US" w:eastAsia="zh-CN"/>
        </w:rPr>
        <w:t>0755-29168809</w:t>
      </w:r>
    </w:p>
    <w:p w14:paraId="72A25A1F">
      <w:pPr>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电子邮箱：</w:t>
      </w:r>
      <w:r>
        <w:rPr>
          <w:rFonts w:hint="eastAsia" w:ascii="Times New Roman" w:hAnsi="Times New Roman" w:cs="Times New Roman"/>
          <w:color w:val="auto"/>
          <w:szCs w:val="22"/>
          <w:highlight w:val="none"/>
          <w:u w:val="single"/>
          <w:lang w:val="en-US" w:eastAsia="zh-CN"/>
        </w:rPr>
        <w:t>363017374</w:t>
      </w:r>
      <w:r>
        <w:rPr>
          <w:rFonts w:hint="eastAsia" w:ascii="Times New Roman" w:hAnsi="Times New Roman" w:cs="Times New Roman"/>
          <w:color w:val="auto"/>
          <w:szCs w:val="22"/>
          <w:highlight w:val="none"/>
          <w:u w:val="single"/>
        </w:rPr>
        <w:t>@qq.com</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 xml:space="preserve"> </w:t>
      </w:r>
    </w:p>
    <w:p w14:paraId="6FC09F7A">
      <w:pPr>
        <w:spacing w:line="440" w:lineRule="exact"/>
        <w:ind w:firstLine="420" w:firstLineChars="200"/>
        <w:rPr>
          <w:rFonts w:ascii="Times New Roman" w:hAnsi="Times New Roman" w:cs="Times New Roman"/>
          <w:color w:val="auto"/>
          <w:szCs w:val="22"/>
          <w:highlight w:val="none"/>
        </w:rPr>
      </w:pPr>
    </w:p>
    <w:p w14:paraId="3F36C3AC">
      <w:pPr>
        <w:pStyle w:val="27"/>
        <w:jc w:val="center"/>
        <w:rPr>
          <w:rFonts w:hint="default" w:ascii="Times New Roman" w:hAnsi="Times New Roman"/>
          <w:color w:val="auto"/>
          <w:sz w:val="21"/>
          <w:szCs w:val="22"/>
          <w:highlight w:val="none"/>
        </w:rPr>
      </w:pPr>
      <w:r>
        <w:rPr>
          <w:rFonts w:hint="default" w:ascii="Times New Roman" w:hAnsi="Times New Roman"/>
          <w:color w:val="auto"/>
          <w:sz w:val="21"/>
          <w:szCs w:val="22"/>
          <w:highlight w:val="none"/>
        </w:rPr>
        <w:t xml:space="preserve">                                          </w:t>
      </w:r>
    </w:p>
    <w:p w14:paraId="3059E29A">
      <w:pPr>
        <w:pStyle w:val="27"/>
        <w:jc w:val="right"/>
        <w:rPr>
          <w:rFonts w:hint="default" w:ascii="Times New Roman" w:hAnsi="Times New Roman"/>
          <w:color w:val="auto"/>
          <w:sz w:val="21"/>
          <w:szCs w:val="22"/>
          <w:highlight w:val="none"/>
        </w:rPr>
      </w:pPr>
    </w:p>
    <w:p w14:paraId="59BA4938">
      <w:pPr>
        <w:pStyle w:val="27"/>
        <w:jc w:val="right"/>
        <w:rPr>
          <w:rFonts w:hint="default" w:ascii="Times New Roman" w:hAnsi="Times New Roman"/>
          <w:color w:val="auto"/>
          <w:szCs w:val="28"/>
          <w:highlight w:val="none"/>
        </w:rPr>
      </w:pPr>
      <w:r>
        <w:rPr>
          <w:rFonts w:hint="eastAsia" w:ascii="Times New Roman" w:hAnsi="Times New Roman" w:eastAsia="Fang Song" w:cs="Times New Roman"/>
          <w:color w:val="auto"/>
          <w:sz w:val="21"/>
          <w:szCs w:val="22"/>
          <w:highlight w:val="none"/>
          <w:u w:val="single"/>
          <w:lang w:val="en-US" w:eastAsia="zh-CN" w:bidi="ar-SA"/>
        </w:rPr>
        <w:t>202</w:t>
      </w:r>
      <w:r>
        <w:rPr>
          <w:rFonts w:hint="eastAsia" w:ascii="Times New Roman" w:hAnsi="Times New Roman" w:cs="Times New Roman"/>
          <w:color w:val="auto"/>
          <w:sz w:val="21"/>
          <w:szCs w:val="22"/>
          <w:highlight w:val="none"/>
          <w:u w:val="single"/>
          <w:lang w:val="en-US" w:eastAsia="zh-CN" w:bidi="ar-SA"/>
        </w:rPr>
        <w:t>5</w:t>
      </w:r>
      <w:r>
        <w:rPr>
          <w:rFonts w:hint="eastAsia" w:ascii="Times New Roman" w:hAnsi="Times New Roman" w:eastAsia="Fang Song" w:cs="Times New Roman"/>
          <w:color w:val="auto"/>
          <w:sz w:val="21"/>
          <w:szCs w:val="22"/>
          <w:highlight w:val="none"/>
          <w:u w:val="single"/>
          <w:lang w:val="en-US" w:eastAsia="zh-CN" w:bidi="ar-SA"/>
        </w:rPr>
        <w:t xml:space="preserve"> </w:t>
      </w:r>
      <w:r>
        <w:rPr>
          <w:rFonts w:hint="default" w:ascii="Times New Roman" w:hAnsi="Times New Roman" w:eastAsia="Fang Song" w:cs="Times New Roman"/>
          <w:color w:val="auto"/>
          <w:sz w:val="21"/>
          <w:szCs w:val="22"/>
          <w:highlight w:val="none"/>
          <w:lang w:val="en-US" w:eastAsia="zh-CN" w:bidi="ar-SA"/>
        </w:rPr>
        <w:t>年</w:t>
      </w:r>
      <w:r>
        <w:rPr>
          <w:rFonts w:hint="eastAsia" w:ascii="Times New Roman" w:hAnsi="Times New Roman" w:eastAsia="Fang Song" w:cs="Times New Roman"/>
          <w:color w:val="auto"/>
          <w:sz w:val="21"/>
          <w:szCs w:val="22"/>
          <w:highlight w:val="none"/>
          <w:u w:val="single"/>
          <w:lang w:val="en-US" w:eastAsia="zh-CN" w:bidi="ar-SA"/>
        </w:rPr>
        <w:t xml:space="preserve"> </w:t>
      </w:r>
      <w:r>
        <w:rPr>
          <w:rFonts w:hint="eastAsia" w:ascii="Times New Roman" w:hAnsi="Times New Roman" w:cs="Times New Roman"/>
          <w:color w:val="auto"/>
          <w:sz w:val="21"/>
          <w:szCs w:val="22"/>
          <w:highlight w:val="none"/>
          <w:u w:val="single"/>
          <w:lang w:val="en-US" w:eastAsia="zh-CN" w:bidi="ar-SA"/>
        </w:rPr>
        <w:t>11</w:t>
      </w:r>
      <w:r>
        <w:rPr>
          <w:rFonts w:hint="eastAsia" w:ascii="Times New Roman" w:hAnsi="Times New Roman" w:eastAsia="Fang Song" w:cs="Times New Roman"/>
          <w:color w:val="auto"/>
          <w:sz w:val="21"/>
          <w:szCs w:val="22"/>
          <w:highlight w:val="none"/>
          <w:u w:val="single"/>
          <w:lang w:val="en-US" w:eastAsia="zh-CN" w:bidi="ar-SA"/>
        </w:rPr>
        <w:t xml:space="preserve"> </w:t>
      </w:r>
      <w:r>
        <w:rPr>
          <w:rFonts w:hint="default" w:ascii="Times New Roman" w:hAnsi="Times New Roman" w:eastAsia="Fang Song" w:cs="Times New Roman"/>
          <w:color w:val="auto"/>
          <w:sz w:val="21"/>
          <w:szCs w:val="22"/>
          <w:highlight w:val="none"/>
          <w:lang w:val="en-US" w:eastAsia="zh-CN" w:bidi="ar-SA"/>
        </w:rPr>
        <w:t>月</w:t>
      </w:r>
      <w:r>
        <w:rPr>
          <w:rFonts w:hint="eastAsia" w:ascii="Times New Roman" w:hAnsi="Times New Roman" w:eastAsia="Fang Song" w:cs="Times New Roman"/>
          <w:color w:val="auto"/>
          <w:sz w:val="21"/>
          <w:szCs w:val="22"/>
          <w:highlight w:val="none"/>
          <w:u w:val="single"/>
          <w:lang w:val="en-US" w:eastAsia="zh-CN" w:bidi="ar-SA"/>
        </w:rPr>
        <w:t xml:space="preserve"> </w:t>
      </w:r>
      <w:r>
        <w:rPr>
          <w:rFonts w:hint="eastAsia" w:ascii="Times New Roman" w:hAnsi="Times New Roman" w:cs="Times New Roman"/>
          <w:color w:val="auto"/>
          <w:sz w:val="21"/>
          <w:szCs w:val="22"/>
          <w:highlight w:val="none"/>
          <w:u w:val="single"/>
          <w:lang w:val="en-US" w:eastAsia="zh-CN" w:bidi="ar-SA"/>
        </w:rPr>
        <w:t xml:space="preserve">25 </w:t>
      </w:r>
      <w:r>
        <w:rPr>
          <w:rFonts w:hint="default" w:ascii="Times New Roman" w:hAnsi="Times New Roman" w:eastAsia="Fang Song" w:cs="Times New Roman"/>
          <w:color w:val="auto"/>
          <w:sz w:val="21"/>
          <w:szCs w:val="22"/>
          <w:highlight w:val="none"/>
          <w:lang w:val="en-US" w:eastAsia="zh-CN" w:bidi="ar-SA"/>
        </w:rPr>
        <w:t>日</w:t>
      </w:r>
    </w:p>
    <w:p w14:paraId="4914948A">
      <w:pP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br w:type="page"/>
      </w:r>
    </w:p>
    <w:p w14:paraId="769BA430">
      <w:pPr>
        <w:pStyle w:val="3"/>
        <w:numPr>
          <w:ilvl w:val="0"/>
          <w:numId w:val="0"/>
        </w:numPr>
        <w:spacing w:beforeLines="0" w:afterLines="0"/>
        <w:ind w:leftChars="0"/>
        <w:rPr>
          <w:rFonts w:ascii="Times New Roman" w:hAnsi="Times New Roman" w:eastAsia="宋体" w:cs="Times New Roman"/>
          <w:color w:val="auto"/>
          <w:highlight w:val="none"/>
        </w:rPr>
      </w:pPr>
      <w:bookmarkStart w:id="50" w:name="_Toc27745"/>
      <w:r>
        <w:rPr>
          <w:rFonts w:hint="eastAsia" w:ascii="Times New Roman" w:hAnsi="Times New Roman" w:eastAsia="宋体" w:cs="Times New Roman"/>
          <w:color w:val="auto"/>
          <w:highlight w:val="none"/>
          <w:lang w:val="en-US" w:eastAsia="zh-CN"/>
        </w:rPr>
        <w:t xml:space="preserve">第二章 </w:t>
      </w:r>
      <w:r>
        <w:rPr>
          <w:rFonts w:ascii="Times New Roman" w:hAnsi="Times New Roman" w:eastAsia="宋体" w:cs="Times New Roman"/>
          <w:color w:val="auto"/>
          <w:highlight w:val="none"/>
        </w:rPr>
        <w:t>供应商须知</w:t>
      </w:r>
      <w:bookmarkEnd w:id="50"/>
    </w:p>
    <w:p w14:paraId="792DFD47">
      <w:pPr>
        <w:spacing w:line="440" w:lineRule="exact"/>
        <w:jc w:val="center"/>
        <w:outlineLvl w:val="1"/>
        <w:rPr>
          <w:rFonts w:ascii="Times New Roman" w:hAnsi="Times New Roman" w:eastAsia="黑体" w:cs="Times New Roman"/>
          <w:color w:val="auto"/>
          <w:sz w:val="28"/>
          <w:szCs w:val="28"/>
          <w:highlight w:val="none"/>
        </w:rPr>
      </w:pPr>
      <w:bookmarkStart w:id="51" w:name="_Toc19501"/>
      <w:bookmarkStart w:id="52" w:name="_Toc16069"/>
      <w:bookmarkStart w:id="53" w:name="_Toc26656928"/>
      <w:bookmarkStart w:id="54" w:name="_Toc29381_WPSOffice_Level2"/>
      <w:bookmarkStart w:id="55" w:name="_Toc55466811"/>
      <w:bookmarkStart w:id="56" w:name="_Toc19661"/>
      <w:bookmarkStart w:id="57" w:name="_Toc9067720"/>
      <w:bookmarkStart w:id="58" w:name="_Toc14201207"/>
      <w:bookmarkStart w:id="59" w:name="_Toc26656938"/>
      <w:r>
        <w:rPr>
          <w:rFonts w:ascii="Times New Roman" w:hAnsi="Times New Roman" w:eastAsia="黑体" w:cs="Times New Roman"/>
          <w:color w:val="auto"/>
          <w:sz w:val="28"/>
          <w:szCs w:val="28"/>
          <w:highlight w:val="none"/>
        </w:rPr>
        <w:t>供应商须知前附表</w:t>
      </w:r>
      <w:bookmarkEnd w:id="51"/>
      <w:bookmarkEnd w:id="52"/>
      <w:bookmarkEnd w:id="53"/>
      <w:bookmarkEnd w:id="54"/>
      <w:bookmarkEnd w:id="55"/>
      <w:bookmarkEnd w:id="56"/>
    </w:p>
    <w:tbl>
      <w:tblPr>
        <w:tblStyle w:val="21"/>
        <w:tblpPr w:leftFromText="180" w:rightFromText="180" w:vertAnchor="text" w:horzAnchor="page" w:tblpX="1811" w:tblpY="49"/>
        <w:tblOverlap w:val="never"/>
        <w:tblW w:w="8978" w:type="dxa"/>
        <w:tblInd w:w="0" w:type="dxa"/>
        <w:tblLayout w:type="fixed"/>
        <w:tblCellMar>
          <w:top w:w="0" w:type="dxa"/>
          <w:left w:w="108" w:type="dxa"/>
          <w:bottom w:w="0" w:type="dxa"/>
          <w:right w:w="108" w:type="dxa"/>
        </w:tblCellMar>
      </w:tblPr>
      <w:tblGrid>
        <w:gridCol w:w="1004"/>
        <w:gridCol w:w="2587"/>
        <w:gridCol w:w="5387"/>
      </w:tblGrid>
      <w:tr w14:paraId="6CDF4CE8">
        <w:tblPrEx>
          <w:tblCellMar>
            <w:top w:w="0" w:type="dxa"/>
            <w:left w:w="108" w:type="dxa"/>
            <w:bottom w:w="0" w:type="dxa"/>
            <w:right w:w="108" w:type="dxa"/>
          </w:tblCellMar>
        </w:tblPrEx>
        <w:trPr>
          <w:trHeight w:val="875" w:hRule="atLeast"/>
        </w:trPr>
        <w:tc>
          <w:tcPr>
            <w:tcW w:w="1004" w:type="dxa"/>
            <w:tcBorders>
              <w:top w:val="single" w:color="auto" w:sz="4" w:space="0"/>
              <w:left w:val="single" w:color="auto" w:sz="4" w:space="0"/>
              <w:bottom w:val="single" w:color="auto" w:sz="4" w:space="0"/>
              <w:right w:val="single" w:color="auto" w:sz="4" w:space="0"/>
            </w:tcBorders>
            <w:vAlign w:val="center"/>
          </w:tcPr>
          <w:p w14:paraId="6CD402F1">
            <w:pPr>
              <w:spacing w:before="156" w:beforeLines="50" w:after="156" w:afterLines="50" w:line="48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条款号</w:t>
            </w:r>
          </w:p>
        </w:tc>
        <w:tc>
          <w:tcPr>
            <w:tcW w:w="2587" w:type="dxa"/>
            <w:tcBorders>
              <w:top w:val="single" w:color="auto" w:sz="4" w:space="0"/>
              <w:left w:val="single" w:color="auto" w:sz="4" w:space="0"/>
              <w:bottom w:val="single" w:color="auto" w:sz="4" w:space="0"/>
              <w:right w:val="single" w:color="auto" w:sz="4" w:space="0"/>
            </w:tcBorders>
            <w:vAlign w:val="center"/>
          </w:tcPr>
          <w:p w14:paraId="72838940">
            <w:pPr>
              <w:spacing w:before="156" w:beforeLines="50" w:after="156" w:afterLines="50" w:line="48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条  款  名  称</w:t>
            </w:r>
          </w:p>
        </w:tc>
        <w:tc>
          <w:tcPr>
            <w:tcW w:w="5387" w:type="dxa"/>
            <w:tcBorders>
              <w:top w:val="single" w:color="auto" w:sz="4" w:space="0"/>
              <w:left w:val="single" w:color="auto" w:sz="4" w:space="0"/>
              <w:bottom w:val="single" w:color="auto" w:sz="4" w:space="0"/>
              <w:right w:val="single" w:color="auto" w:sz="4" w:space="0"/>
            </w:tcBorders>
            <w:vAlign w:val="center"/>
          </w:tcPr>
          <w:p w14:paraId="14823D88">
            <w:pPr>
              <w:spacing w:before="156" w:beforeLines="50" w:after="156" w:afterLines="50" w:line="48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编  列  内  容</w:t>
            </w:r>
          </w:p>
        </w:tc>
      </w:tr>
      <w:tr w14:paraId="5B8D2675">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185D71B6">
            <w:pPr>
              <w:spacing w:line="480" w:lineRule="exact"/>
              <w:jc w:val="center"/>
              <w:rPr>
                <w:rFonts w:hint="default" w:ascii="Times New Roman" w:hAnsi="Times New Roman" w:eastAsia="宋体" w:cs="Times New Roman"/>
                <w:color w:val="auto"/>
                <w:szCs w:val="21"/>
                <w:highlight w:val="none"/>
                <w:lang w:val="en-US" w:eastAsia="zh-CN"/>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.1</w:t>
            </w:r>
          </w:p>
        </w:tc>
        <w:tc>
          <w:tcPr>
            <w:tcW w:w="2587" w:type="dxa"/>
            <w:tcBorders>
              <w:top w:val="single" w:color="auto" w:sz="4" w:space="0"/>
              <w:left w:val="single" w:color="auto" w:sz="4" w:space="0"/>
              <w:bottom w:val="single" w:color="auto" w:sz="4" w:space="0"/>
              <w:right w:val="single" w:color="auto" w:sz="4" w:space="0"/>
            </w:tcBorders>
            <w:vAlign w:val="center"/>
          </w:tcPr>
          <w:p w14:paraId="0B2C9E4E">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质量要求</w:t>
            </w:r>
          </w:p>
        </w:tc>
        <w:tc>
          <w:tcPr>
            <w:tcW w:w="5387" w:type="dxa"/>
            <w:tcBorders>
              <w:top w:val="single" w:color="auto" w:sz="4" w:space="0"/>
              <w:left w:val="single" w:color="auto" w:sz="4" w:space="0"/>
              <w:bottom w:val="single" w:color="auto" w:sz="4" w:space="0"/>
              <w:right w:val="single" w:color="auto" w:sz="4" w:space="0"/>
            </w:tcBorders>
            <w:vAlign w:val="center"/>
          </w:tcPr>
          <w:p w14:paraId="69F7586A">
            <w:pPr>
              <w:widowControl/>
              <w:spacing w:line="480" w:lineRule="exact"/>
              <w:jc w:val="left"/>
              <w:rPr>
                <w:rFonts w:hint="default" w:ascii="Times New Roman" w:hAnsi="Times New Roman" w:eastAsia="宋体" w:cs="Times New Roman"/>
                <w:color w:val="auto"/>
                <w:kern w:val="0"/>
                <w:szCs w:val="21"/>
                <w:highlight w:val="none"/>
                <w:lang w:val="en-US" w:eastAsia="zh-CN"/>
              </w:rPr>
            </w:pPr>
            <w:r>
              <w:rPr>
                <w:rFonts w:ascii="Times New Roman" w:hAnsi="Times New Roman"/>
                <w:color w:val="auto"/>
                <w:kern w:val="0"/>
                <w:szCs w:val="21"/>
              </w:rPr>
              <w:t>合格</w:t>
            </w:r>
          </w:p>
        </w:tc>
      </w:tr>
      <w:tr w14:paraId="0A38C7B3">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3DAF9EF0">
            <w:pPr>
              <w:spacing w:line="48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1.1.2</w:t>
            </w:r>
          </w:p>
        </w:tc>
        <w:tc>
          <w:tcPr>
            <w:tcW w:w="2587" w:type="dxa"/>
            <w:tcBorders>
              <w:top w:val="single" w:color="auto" w:sz="4" w:space="0"/>
              <w:left w:val="single" w:color="auto" w:sz="4" w:space="0"/>
              <w:bottom w:val="single" w:color="auto" w:sz="4" w:space="0"/>
              <w:right w:val="single" w:color="auto" w:sz="4" w:space="0"/>
            </w:tcBorders>
            <w:vAlign w:val="center"/>
          </w:tcPr>
          <w:p w14:paraId="3231692D">
            <w:pPr>
              <w:spacing w:line="48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安全目标</w:t>
            </w:r>
          </w:p>
        </w:tc>
        <w:tc>
          <w:tcPr>
            <w:tcW w:w="5387" w:type="dxa"/>
            <w:tcBorders>
              <w:top w:val="single" w:color="auto" w:sz="4" w:space="0"/>
              <w:left w:val="single" w:color="auto" w:sz="4" w:space="0"/>
              <w:bottom w:val="single" w:color="auto" w:sz="4" w:space="0"/>
              <w:right w:val="single" w:color="auto" w:sz="4" w:space="0"/>
            </w:tcBorders>
            <w:vAlign w:val="center"/>
          </w:tcPr>
          <w:p w14:paraId="0A0CB505">
            <w:pPr>
              <w:widowControl/>
              <w:spacing w:line="480" w:lineRule="exact"/>
              <w:jc w:val="left"/>
              <w:rPr>
                <w:rFonts w:hint="default" w:ascii="Times New Roman" w:hAnsi="Times New Roman" w:eastAsia="宋体" w:cs="Times New Roman"/>
                <w:color w:val="auto"/>
                <w:kern w:val="0"/>
                <w:szCs w:val="21"/>
                <w:highlight w:val="none"/>
                <w:lang w:val="en-US" w:eastAsia="zh-CN"/>
              </w:rPr>
            </w:pPr>
            <w:r>
              <w:rPr>
                <w:rFonts w:ascii="Times New Roman" w:hAnsi="Times New Roman"/>
                <w:color w:val="auto"/>
                <w:kern w:val="0"/>
                <w:szCs w:val="21"/>
              </w:rPr>
              <w:t>合格</w:t>
            </w:r>
          </w:p>
        </w:tc>
      </w:tr>
      <w:tr w14:paraId="0313ED8F">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5485CB98">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1.2.2</w:t>
            </w:r>
          </w:p>
        </w:tc>
        <w:tc>
          <w:tcPr>
            <w:tcW w:w="2587" w:type="dxa"/>
            <w:tcBorders>
              <w:top w:val="single" w:color="auto" w:sz="4" w:space="0"/>
              <w:left w:val="single" w:color="auto" w:sz="4" w:space="0"/>
              <w:bottom w:val="single" w:color="auto" w:sz="4" w:space="0"/>
              <w:right w:val="single" w:color="auto" w:sz="4" w:space="0"/>
            </w:tcBorders>
            <w:vAlign w:val="center"/>
          </w:tcPr>
          <w:p w14:paraId="2A055B05">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供应商其他资格要求</w:t>
            </w:r>
          </w:p>
        </w:tc>
        <w:tc>
          <w:tcPr>
            <w:tcW w:w="5387" w:type="dxa"/>
            <w:tcBorders>
              <w:top w:val="single" w:color="auto" w:sz="4" w:space="0"/>
              <w:left w:val="single" w:color="auto" w:sz="4" w:space="0"/>
              <w:bottom w:val="single" w:color="auto" w:sz="4" w:space="0"/>
              <w:right w:val="single" w:color="auto" w:sz="4" w:space="0"/>
            </w:tcBorders>
            <w:vAlign w:val="center"/>
          </w:tcPr>
          <w:p w14:paraId="61A3330A">
            <w:pPr>
              <w:widowControl/>
              <w:spacing w:line="480" w:lineRule="exact"/>
              <w:jc w:val="left"/>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u w:val="single"/>
                <w:lang w:val="en-US" w:eastAsia="zh-CN"/>
              </w:rPr>
              <w:t xml:space="preserve"> 报价品牌的授权书  </w:t>
            </w:r>
          </w:p>
        </w:tc>
      </w:tr>
      <w:tr w14:paraId="7E6D8E97">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208A5076">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3.1</w:t>
            </w:r>
          </w:p>
        </w:tc>
        <w:tc>
          <w:tcPr>
            <w:tcW w:w="2587" w:type="dxa"/>
            <w:tcBorders>
              <w:top w:val="single" w:color="auto" w:sz="4" w:space="0"/>
              <w:left w:val="single" w:color="auto" w:sz="4" w:space="0"/>
              <w:bottom w:val="single" w:color="auto" w:sz="4" w:space="0"/>
              <w:right w:val="single" w:color="auto" w:sz="4" w:space="0"/>
            </w:tcBorders>
            <w:vAlign w:val="center"/>
          </w:tcPr>
          <w:p w14:paraId="386A742A">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响应文件其他材料要求</w:t>
            </w:r>
          </w:p>
        </w:tc>
        <w:tc>
          <w:tcPr>
            <w:tcW w:w="5387" w:type="dxa"/>
            <w:tcBorders>
              <w:top w:val="single" w:color="auto" w:sz="4" w:space="0"/>
              <w:left w:val="single" w:color="auto" w:sz="4" w:space="0"/>
              <w:bottom w:val="single" w:color="auto" w:sz="4" w:space="0"/>
              <w:right w:val="single" w:color="auto" w:sz="4" w:space="0"/>
            </w:tcBorders>
            <w:vAlign w:val="center"/>
          </w:tcPr>
          <w:p w14:paraId="0AEDB358">
            <w:pPr>
              <w:widowControl/>
              <w:spacing w:line="480" w:lineRule="exact"/>
              <w:jc w:val="left"/>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u w:val="single"/>
                <w:lang w:val="en-US" w:eastAsia="zh-CN"/>
              </w:rPr>
              <w:t xml:space="preserve"> 无  </w:t>
            </w:r>
          </w:p>
        </w:tc>
      </w:tr>
      <w:tr w14:paraId="3EBD8DC6">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725932A0">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3.2.</w:t>
            </w:r>
            <w:r>
              <w:rPr>
                <w:rFonts w:hint="eastAsia" w:ascii="Times New Roman" w:hAnsi="Times New Roman" w:eastAsia="宋体" w:cs="Times New Roman"/>
                <w:color w:val="auto"/>
                <w:szCs w:val="21"/>
                <w:highlight w:val="none"/>
              </w:rPr>
              <w:t>4</w:t>
            </w:r>
          </w:p>
        </w:tc>
        <w:tc>
          <w:tcPr>
            <w:tcW w:w="2587" w:type="dxa"/>
            <w:tcBorders>
              <w:top w:val="single" w:color="auto" w:sz="4" w:space="0"/>
              <w:left w:val="single" w:color="auto" w:sz="4" w:space="0"/>
              <w:bottom w:val="single" w:color="auto" w:sz="4" w:space="0"/>
              <w:right w:val="single" w:color="auto" w:sz="4" w:space="0"/>
            </w:tcBorders>
            <w:vAlign w:val="center"/>
          </w:tcPr>
          <w:p w14:paraId="5D562E13">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报价方式</w:t>
            </w:r>
          </w:p>
        </w:tc>
        <w:tc>
          <w:tcPr>
            <w:tcW w:w="5387" w:type="dxa"/>
            <w:tcBorders>
              <w:top w:val="single" w:color="auto" w:sz="4" w:space="0"/>
              <w:left w:val="single" w:color="auto" w:sz="4" w:space="0"/>
              <w:bottom w:val="single" w:color="auto" w:sz="4" w:space="0"/>
              <w:right w:val="single" w:color="auto" w:sz="4" w:space="0"/>
            </w:tcBorders>
            <w:vAlign w:val="center"/>
          </w:tcPr>
          <w:p w14:paraId="505A3A4E">
            <w:pPr>
              <w:spacing w:line="48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单价</w:t>
            </w:r>
          </w:p>
          <w:p w14:paraId="5B4A4CB5">
            <w:pPr>
              <w:spacing w:line="48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总价</w:t>
            </w:r>
          </w:p>
        </w:tc>
      </w:tr>
      <w:tr w14:paraId="77525434">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10470780">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3.2.</w:t>
            </w:r>
            <w:r>
              <w:rPr>
                <w:rFonts w:hint="eastAsia" w:ascii="Times New Roman" w:hAnsi="Times New Roman" w:eastAsia="宋体" w:cs="Times New Roman"/>
                <w:color w:val="auto"/>
                <w:szCs w:val="21"/>
                <w:highlight w:val="none"/>
              </w:rPr>
              <w:t>5</w:t>
            </w:r>
          </w:p>
        </w:tc>
        <w:tc>
          <w:tcPr>
            <w:tcW w:w="2587" w:type="dxa"/>
            <w:tcBorders>
              <w:top w:val="single" w:color="auto" w:sz="4" w:space="0"/>
              <w:left w:val="single" w:color="auto" w:sz="4" w:space="0"/>
              <w:bottom w:val="single" w:color="auto" w:sz="4" w:space="0"/>
              <w:right w:val="single" w:color="auto" w:sz="4" w:space="0"/>
            </w:tcBorders>
            <w:vAlign w:val="center"/>
          </w:tcPr>
          <w:p w14:paraId="04875763">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报价的其他要求</w:t>
            </w:r>
          </w:p>
        </w:tc>
        <w:tc>
          <w:tcPr>
            <w:tcW w:w="5387" w:type="dxa"/>
            <w:tcBorders>
              <w:top w:val="single" w:color="auto" w:sz="4" w:space="0"/>
              <w:left w:val="single" w:color="auto" w:sz="4" w:space="0"/>
              <w:bottom w:val="single" w:color="auto" w:sz="4" w:space="0"/>
              <w:right w:val="single" w:color="auto" w:sz="4" w:space="0"/>
            </w:tcBorders>
            <w:vAlign w:val="center"/>
          </w:tcPr>
          <w:p w14:paraId="21025D1E">
            <w:pPr>
              <w:spacing w:line="48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u w:val="single"/>
                <w:lang w:val="en-US" w:eastAsia="zh-CN"/>
              </w:rPr>
              <w:t>同一供应商不得递交两个及以上不同的报价。</w:t>
            </w:r>
          </w:p>
        </w:tc>
      </w:tr>
      <w:tr w14:paraId="3FA7DAB3">
        <w:tblPrEx>
          <w:tblCellMar>
            <w:top w:w="0" w:type="dxa"/>
            <w:left w:w="108" w:type="dxa"/>
            <w:bottom w:w="0" w:type="dxa"/>
            <w:right w:w="108" w:type="dxa"/>
          </w:tblCellMar>
        </w:tblPrEx>
        <w:trPr>
          <w:trHeight w:val="1600" w:hRule="atLeast"/>
        </w:trPr>
        <w:tc>
          <w:tcPr>
            <w:tcW w:w="1004" w:type="dxa"/>
            <w:tcBorders>
              <w:top w:val="single" w:color="auto" w:sz="4" w:space="0"/>
              <w:left w:val="single" w:color="auto" w:sz="4" w:space="0"/>
              <w:bottom w:val="single" w:color="auto" w:sz="4" w:space="0"/>
              <w:right w:val="single" w:color="auto" w:sz="4" w:space="0"/>
            </w:tcBorders>
            <w:vAlign w:val="center"/>
          </w:tcPr>
          <w:p w14:paraId="1C48A0B1">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3.4.4</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4</w:t>
            </w:r>
            <w:r>
              <w:rPr>
                <w:rFonts w:hint="eastAsia" w:ascii="Times New Roman" w:hAnsi="Times New Roman" w:eastAsia="宋体" w:cs="Times New Roman"/>
                <w:color w:val="auto"/>
                <w:szCs w:val="21"/>
                <w:highlight w:val="none"/>
              </w:rPr>
              <w:t>）</w:t>
            </w:r>
          </w:p>
        </w:tc>
        <w:tc>
          <w:tcPr>
            <w:tcW w:w="2587" w:type="dxa"/>
            <w:tcBorders>
              <w:top w:val="single" w:color="auto" w:sz="4" w:space="0"/>
              <w:left w:val="single" w:color="auto" w:sz="4" w:space="0"/>
              <w:bottom w:val="single" w:color="auto" w:sz="4" w:space="0"/>
              <w:right w:val="single" w:color="auto" w:sz="4" w:space="0"/>
            </w:tcBorders>
            <w:vAlign w:val="center"/>
          </w:tcPr>
          <w:p w14:paraId="1CD6B1D0">
            <w:pPr>
              <w:spacing w:line="480" w:lineRule="exact"/>
              <w:jc w:val="center"/>
              <w:rPr>
                <w:rFonts w:ascii="Times New Roman" w:hAnsi="Times New Roman" w:eastAsia="宋体" w:cs="Times New Roman"/>
                <w:color w:val="auto"/>
                <w:szCs w:val="21"/>
                <w:highlight w:val="none"/>
              </w:rPr>
            </w:pPr>
            <w:r>
              <w:rPr>
                <w:rFonts w:ascii="Times New Roman" w:hAnsi="Times New Roman" w:cs="Times New Roman"/>
                <w:color w:val="auto"/>
                <w:highlight w:val="none"/>
              </w:rPr>
              <w:t>其他不予退还响应保证金的情形</w:t>
            </w:r>
          </w:p>
        </w:tc>
        <w:tc>
          <w:tcPr>
            <w:tcW w:w="5387" w:type="dxa"/>
            <w:tcBorders>
              <w:top w:val="single" w:color="auto" w:sz="4" w:space="0"/>
              <w:left w:val="single" w:color="auto" w:sz="4" w:space="0"/>
              <w:bottom w:val="single" w:color="auto" w:sz="4" w:space="0"/>
              <w:right w:val="single" w:color="auto" w:sz="4" w:space="0"/>
            </w:tcBorders>
            <w:vAlign w:val="center"/>
          </w:tcPr>
          <w:p w14:paraId="0B7BFD64">
            <w:pPr>
              <w:spacing w:line="48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u w:val="single"/>
                <w:lang w:val="en-US" w:eastAsia="zh-CN"/>
              </w:rPr>
              <w:t xml:space="preserve"> 无  </w:t>
            </w:r>
          </w:p>
        </w:tc>
      </w:tr>
      <w:tr w14:paraId="2FCD5EE2">
        <w:tblPrEx>
          <w:tblCellMar>
            <w:top w:w="0" w:type="dxa"/>
            <w:left w:w="108" w:type="dxa"/>
            <w:bottom w:w="0" w:type="dxa"/>
            <w:right w:w="108" w:type="dxa"/>
          </w:tblCellMar>
        </w:tblPrEx>
        <w:trPr>
          <w:trHeight w:val="1574" w:hRule="atLeast"/>
        </w:trPr>
        <w:tc>
          <w:tcPr>
            <w:tcW w:w="1004" w:type="dxa"/>
            <w:tcBorders>
              <w:top w:val="single" w:color="auto" w:sz="4" w:space="0"/>
              <w:left w:val="single" w:color="auto" w:sz="4" w:space="0"/>
              <w:bottom w:val="single" w:color="auto" w:sz="4" w:space="0"/>
              <w:right w:val="single" w:color="auto" w:sz="4" w:space="0"/>
            </w:tcBorders>
            <w:vAlign w:val="center"/>
          </w:tcPr>
          <w:p w14:paraId="4EDC162C">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3.6.3（2）</w:t>
            </w:r>
          </w:p>
        </w:tc>
        <w:tc>
          <w:tcPr>
            <w:tcW w:w="2587" w:type="dxa"/>
            <w:tcBorders>
              <w:top w:val="single" w:color="auto" w:sz="4" w:space="0"/>
              <w:left w:val="single" w:color="auto" w:sz="4" w:space="0"/>
              <w:bottom w:val="single" w:color="auto" w:sz="4" w:space="0"/>
              <w:right w:val="single" w:color="auto" w:sz="4" w:space="0"/>
            </w:tcBorders>
            <w:vAlign w:val="center"/>
          </w:tcPr>
          <w:p w14:paraId="539DFF29">
            <w:pPr>
              <w:spacing w:line="48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响应文件正副本份数</w:t>
            </w:r>
          </w:p>
        </w:tc>
        <w:tc>
          <w:tcPr>
            <w:tcW w:w="5387" w:type="dxa"/>
            <w:tcBorders>
              <w:top w:val="single" w:color="auto" w:sz="4" w:space="0"/>
              <w:left w:val="single" w:color="auto" w:sz="4" w:space="0"/>
              <w:bottom w:val="single" w:color="auto" w:sz="4" w:space="0"/>
              <w:right w:val="single" w:color="auto" w:sz="4" w:space="0"/>
            </w:tcBorders>
            <w:vAlign w:val="center"/>
          </w:tcPr>
          <w:p w14:paraId="30D72119">
            <w:pPr>
              <w:spacing w:line="480" w:lineRule="exact"/>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2</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份（其中正本</w:t>
            </w:r>
            <w:r>
              <w:rPr>
                <w:rFonts w:hint="eastAsia" w:ascii="Times New Roman" w:hAnsi="Times New Roman" w:eastAsia="宋体" w:cs="Times New Roman"/>
                <w:color w:val="auto"/>
                <w:szCs w:val="21"/>
                <w:highlight w:val="none"/>
                <w:u w:val="single"/>
                <w:lang w:val="en-US" w:eastAsia="zh-CN"/>
              </w:rPr>
              <w:t xml:space="preserve"> 1 </w:t>
            </w:r>
            <w:r>
              <w:rPr>
                <w:rFonts w:hint="eastAsia" w:ascii="Times New Roman" w:hAnsi="Times New Roman" w:eastAsia="宋体" w:cs="Times New Roman"/>
                <w:color w:val="auto"/>
                <w:szCs w:val="21"/>
                <w:highlight w:val="none"/>
              </w:rPr>
              <w:t>份，副本</w:t>
            </w:r>
            <w:r>
              <w:rPr>
                <w:rFonts w:hint="eastAsia" w:ascii="Times New Roman" w:hAnsi="Times New Roman" w:eastAsia="宋体" w:cs="Times New Roman"/>
                <w:color w:val="auto"/>
                <w:szCs w:val="21"/>
                <w:highlight w:val="none"/>
                <w:u w:val="single"/>
                <w:lang w:val="en-US" w:eastAsia="zh-CN"/>
              </w:rPr>
              <w:t xml:space="preserve"> 1 </w:t>
            </w:r>
            <w:r>
              <w:rPr>
                <w:rFonts w:hint="eastAsia" w:ascii="Times New Roman" w:hAnsi="Times New Roman" w:eastAsia="宋体" w:cs="Times New Roman"/>
                <w:color w:val="auto"/>
                <w:szCs w:val="21"/>
                <w:highlight w:val="none"/>
              </w:rPr>
              <w:t>份），正本和副本的封面右上角上应清楚地标记“正本”或“副本”的字样。当副本和正本不一致时，以正本文件为准。</w:t>
            </w:r>
            <w:r>
              <w:rPr>
                <w:rFonts w:hint="eastAsia" w:ascii="Times New Roman" w:hAnsi="Times New Roman" w:eastAsia="宋体" w:cs="Times New Roman"/>
                <w:color w:val="auto"/>
                <w:szCs w:val="21"/>
                <w:highlight w:val="none"/>
                <w:lang w:val="en-US" w:eastAsia="zh-CN"/>
              </w:rPr>
              <w:t>同时提供响应文件盖章扫描件电子版（U盘）一份。</w:t>
            </w:r>
          </w:p>
        </w:tc>
      </w:tr>
      <w:tr w14:paraId="3A438D22">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4B0B7F25">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5.2.1（3）</w:t>
            </w:r>
          </w:p>
        </w:tc>
        <w:tc>
          <w:tcPr>
            <w:tcW w:w="2587" w:type="dxa"/>
            <w:tcBorders>
              <w:top w:val="single" w:color="auto" w:sz="4" w:space="0"/>
              <w:left w:val="single" w:color="auto" w:sz="4" w:space="0"/>
              <w:bottom w:val="single" w:color="auto" w:sz="4" w:space="0"/>
              <w:right w:val="single" w:color="auto" w:sz="4" w:space="0"/>
            </w:tcBorders>
            <w:vAlign w:val="center"/>
          </w:tcPr>
          <w:p w14:paraId="5F65681B">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启封公布的其他内容</w:t>
            </w:r>
          </w:p>
        </w:tc>
        <w:tc>
          <w:tcPr>
            <w:tcW w:w="5387" w:type="dxa"/>
            <w:tcBorders>
              <w:top w:val="single" w:color="auto" w:sz="4" w:space="0"/>
              <w:left w:val="single" w:color="auto" w:sz="4" w:space="0"/>
              <w:bottom w:val="single" w:color="auto" w:sz="4" w:space="0"/>
              <w:right w:val="single" w:color="auto" w:sz="4" w:space="0"/>
            </w:tcBorders>
            <w:vAlign w:val="center"/>
          </w:tcPr>
          <w:p w14:paraId="46F60B00">
            <w:pPr>
              <w:spacing w:line="48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u w:val="single"/>
                <w:lang w:val="en-US" w:eastAsia="zh-CN"/>
              </w:rPr>
              <w:t xml:space="preserve"> 无 </w:t>
            </w:r>
          </w:p>
        </w:tc>
      </w:tr>
      <w:tr w14:paraId="4BE1FB20">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0314C76A">
            <w:pPr>
              <w:spacing w:line="48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6.2.3（4）</w:t>
            </w:r>
          </w:p>
        </w:tc>
        <w:tc>
          <w:tcPr>
            <w:tcW w:w="2587" w:type="dxa"/>
            <w:tcBorders>
              <w:top w:val="single" w:color="auto" w:sz="4" w:space="0"/>
              <w:left w:val="single" w:color="auto" w:sz="4" w:space="0"/>
              <w:bottom w:val="single" w:color="auto" w:sz="4" w:space="0"/>
              <w:right w:val="single" w:color="auto" w:sz="4" w:space="0"/>
            </w:tcBorders>
            <w:vAlign w:val="center"/>
          </w:tcPr>
          <w:p w14:paraId="19CDDEA2">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其他不予计入评审基准价计算的情形</w:t>
            </w:r>
          </w:p>
        </w:tc>
        <w:tc>
          <w:tcPr>
            <w:tcW w:w="5387" w:type="dxa"/>
            <w:tcBorders>
              <w:top w:val="single" w:color="auto" w:sz="4" w:space="0"/>
              <w:left w:val="single" w:color="auto" w:sz="4" w:space="0"/>
              <w:bottom w:val="single" w:color="auto" w:sz="4" w:space="0"/>
              <w:right w:val="single" w:color="auto" w:sz="4" w:space="0"/>
            </w:tcBorders>
            <w:vAlign w:val="center"/>
          </w:tcPr>
          <w:p w14:paraId="2FD0A305">
            <w:pPr>
              <w:snapToGrid w:val="0"/>
              <w:spacing w:line="48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u w:val="single"/>
                <w:lang w:val="en-US" w:eastAsia="zh-CN"/>
              </w:rPr>
              <w:t xml:space="preserve"> 无 </w:t>
            </w:r>
          </w:p>
        </w:tc>
      </w:tr>
      <w:tr w14:paraId="609AF2C9">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66597DBE">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7.4.1</w:t>
            </w:r>
          </w:p>
        </w:tc>
        <w:tc>
          <w:tcPr>
            <w:tcW w:w="2587" w:type="dxa"/>
            <w:tcBorders>
              <w:top w:val="single" w:color="auto" w:sz="4" w:space="0"/>
              <w:left w:val="single" w:color="auto" w:sz="4" w:space="0"/>
              <w:bottom w:val="single" w:color="auto" w:sz="4" w:space="0"/>
              <w:right w:val="single" w:color="auto" w:sz="4" w:space="0"/>
            </w:tcBorders>
            <w:vAlign w:val="center"/>
          </w:tcPr>
          <w:p w14:paraId="3A3E5C72">
            <w:pPr>
              <w:spacing w:line="4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履约保证金</w:t>
            </w:r>
          </w:p>
        </w:tc>
        <w:tc>
          <w:tcPr>
            <w:tcW w:w="5387" w:type="dxa"/>
            <w:tcBorders>
              <w:top w:val="single" w:color="auto" w:sz="4" w:space="0"/>
              <w:left w:val="single" w:color="auto" w:sz="4" w:space="0"/>
              <w:bottom w:val="single" w:color="auto" w:sz="4" w:space="0"/>
              <w:right w:val="single" w:color="auto" w:sz="4" w:space="0"/>
            </w:tcBorders>
            <w:vAlign w:val="center"/>
          </w:tcPr>
          <w:p w14:paraId="0B56CD62">
            <w:pPr>
              <w:snapToGrid w:val="0"/>
              <w:spacing w:line="48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金额：</w:t>
            </w:r>
            <w:r>
              <w:rPr>
                <w:rFonts w:hint="eastAsia" w:ascii="Times New Roman" w:hAnsi="Times New Roman" w:eastAsia="宋体" w:cs="Times New Roman"/>
                <w:color w:val="auto"/>
                <w:szCs w:val="21"/>
                <w:highlight w:val="none"/>
                <w:u w:val="single"/>
                <w:lang w:val="en-US" w:eastAsia="zh-CN"/>
              </w:rPr>
              <w:t>3 万元（人民币）</w:t>
            </w:r>
          </w:p>
          <w:p w14:paraId="3845A5AC">
            <w:pPr>
              <w:snapToGrid w:val="0"/>
              <w:spacing w:line="48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形式：</w:t>
            </w:r>
            <w:r>
              <w:rPr>
                <w:rFonts w:hint="eastAsia" w:ascii="Times New Roman" w:hAnsi="Times New Roman" w:eastAsia="宋体" w:cs="Times New Roman"/>
                <w:color w:val="auto"/>
                <w:szCs w:val="21"/>
                <w:highlight w:val="none"/>
                <w:u w:val="single"/>
                <w:lang w:val="en-US" w:eastAsia="zh-CN"/>
              </w:rPr>
              <w:t>银行保函或现金</w:t>
            </w:r>
          </w:p>
        </w:tc>
      </w:tr>
      <w:tr w14:paraId="638E29CC">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2D6DC126">
            <w:pPr>
              <w:spacing w:line="48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7.4.3</w:t>
            </w:r>
          </w:p>
        </w:tc>
        <w:tc>
          <w:tcPr>
            <w:tcW w:w="2587" w:type="dxa"/>
            <w:tcBorders>
              <w:top w:val="single" w:color="auto" w:sz="4" w:space="0"/>
              <w:left w:val="single" w:color="auto" w:sz="4" w:space="0"/>
              <w:bottom w:val="single" w:color="auto" w:sz="4" w:space="0"/>
              <w:right w:val="single" w:color="auto" w:sz="4" w:space="0"/>
            </w:tcBorders>
            <w:vAlign w:val="center"/>
          </w:tcPr>
          <w:p w14:paraId="68956BE0">
            <w:pPr>
              <w:spacing w:line="480" w:lineRule="exact"/>
              <w:jc w:val="center"/>
              <w:rPr>
                <w:rFonts w:hint="default" w:ascii="Times New Roman" w:hAnsi="Times New Roman" w:eastAsia="宋体" w:cs="Times New Roman"/>
                <w:color w:val="auto"/>
                <w:szCs w:val="21"/>
                <w:highlight w:val="none"/>
                <w:lang w:val="en-US" w:eastAsia="zh-CN"/>
              </w:rPr>
            </w:pPr>
            <w:r>
              <w:rPr>
                <w:rFonts w:ascii="Times New Roman" w:hAnsi="Times New Roman" w:eastAsia="宋体" w:cs="Times New Roman"/>
                <w:color w:val="auto"/>
                <w:szCs w:val="21"/>
                <w:highlight w:val="none"/>
              </w:rPr>
              <w:t>履约保证金</w:t>
            </w:r>
            <w:r>
              <w:rPr>
                <w:rFonts w:hint="eastAsia" w:ascii="Times New Roman" w:hAnsi="Times New Roman" w:eastAsia="宋体" w:cs="Times New Roman"/>
                <w:color w:val="auto"/>
                <w:szCs w:val="21"/>
                <w:highlight w:val="none"/>
                <w:lang w:val="en-US" w:eastAsia="zh-CN"/>
              </w:rPr>
              <w:t>的退还</w:t>
            </w:r>
          </w:p>
        </w:tc>
        <w:tc>
          <w:tcPr>
            <w:tcW w:w="5387" w:type="dxa"/>
            <w:tcBorders>
              <w:top w:val="single" w:color="auto" w:sz="4" w:space="0"/>
              <w:left w:val="single" w:color="auto" w:sz="4" w:space="0"/>
              <w:bottom w:val="single" w:color="auto" w:sz="4" w:space="0"/>
              <w:right w:val="single" w:color="auto" w:sz="4" w:space="0"/>
            </w:tcBorders>
            <w:vAlign w:val="center"/>
          </w:tcPr>
          <w:p w14:paraId="4D4CA2D6">
            <w:pPr>
              <w:snapToGrid w:val="0"/>
              <w:spacing w:line="480" w:lineRule="exact"/>
              <w:rPr>
                <w:rFonts w:hint="eastAsia" w:ascii="Times New Roman" w:hAnsi="Times New Roman" w:cs="Times New Roman" w:eastAsiaTheme="minorEastAsia"/>
                <w:color w:val="auto"/>
                <w:szCs w:val="21"/>
                <w:highlight w:val="none"/>
                <w:lang w:val="en-US" w:eastAsia="zh-CN"/>
              </w:rPr>
            </w:pPr>
            <w:r>
              <w:rPr>
                <w:rFonts w:hint="eastAsia" w:ascii="宋体" w:hAnsi="宋体"/>
                <w:color w:val="auto"/>
                <w:spacing w:val="-6"/>
                <w:kern w:val="11"/>
                <w:szCs w:val="21"/>
              </w:rPr>
              <w:t>合同履约完成后30日内无息退还</w:t>
            </w:r>
            <w:r>
              <w:rPr>
                <w:rFonts w:hint="eastAsia" w:ascii="宋体" w:hAnsi="宋体"/>
                <w:color w:val="auto"/>
                <w:spacing w:val="-6"/>
                <w:kern w:val="11"/>
                <w:szCs w:val="21"/>
                <w:lang w:eastAsia="zh-CN"/>
              </w:rPr>
              <w:t>。</w:t>
            </w:r>
          </w:p>
        </w:tc>
      </w:tr>
      <w:tr w14:paraId="75C1BD7B">
        <w:tblPrEx>
          <w:tblCellMar>
            <w:top w:w="0" w:type="dxa"/>
            <w:left w:w="108" w:type="dxa"/>
            <w:bottom w:w="0" w:type="dxa"/>
            <w:right w:w="108" w:type="dxa"/>
          </w:tblCellMar>
        </w:tblPrEx>
        <w:trPr>
          <w:trHeight w:val="538" w:hRule="atLeast"/>
        </w:trPr>
        <w:tc>
          <w:tcPr>
            <w:tcW w:w="8978" w:type="dxa"/>
            <w:gridSpan w:val="3"/>
            <w:tcBorders>
              <w:top w:val="single" w:color="auto" w:sz="4" w:space="0"/>
              <w:left w:val="single" w:color="auto" w:sz="4" w:space="0"/>
              <w:bottom w:val="nil"/>
              <w:right w:val="single" w:color="auto" w:sz="4" w:space="0"/>
            </w:tcBorders>
            <w:vAlign w:val="center"/>
          </w:tcPr>
          <w:p w14:paraId="3B3976B4">
            <w:pPr>
              <w:snapToGrid w:val="0"/>
              <w:spacing w:line="48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10</w:t>
            </w:r>
            <w:r>
              <w:rPr>
                <w:rFonts w:ascii="Times New Roman" w:hAnsi="Times New Roman" w:eastAsia="宋体" w:cs="Times New Roman"/>
                <w:color w:val="auto"/>
                <w:szCs w:val="21"/>
                <w:highlight w:val="none"/>
              </w:rPr>
              <w:t>需要补充的其他内容</w:t>
            </w:r>
          </w:p>
        </w:tc>
      </w:tr>
      <w:tr w14:paraId="54E89761">
        <w:tblPrEx>
          <w:tblCellMar>
            <w:top w:w="0" w:type="dxa"/>
            <w:left w:w="108" w:type="dxa"/>
            <w:bottom w:w="0" w:type="dxa"/>
            <w:right w:w="108" w:type="dxa"/>
          </w:tblCellMar>
        </w:tblPrEx>
        <w:trPr>
          <w:trHeight w:val="584" w:hRule="atLeast"/>
        </w:trPr>
        <w:tc>
          <w:tcPr>
            <w:tcW w:w="1004" w:type="dxa"/>
            <w:tcBorders>
              <w:top w:val="nil"/>
              <w:left w:val="nil"/>
              <w:bottom w:val="nil"/>
              <w:right w:val="single" w:color="auto" w:sz="4" w:space="0"/>
            </w:tcBorders>
            <w:vAlign w:val="center"/>
          </w:tcPr>
          <w:p w14:paraId="5B3C8926">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10</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1</w:t>
            </w:r>
          </w:p>
        </w:tc>
        <w:tc>
          <w:tcPr>
            <w:tcW w:w="2587" w:type="dxa"/>
            <w:tcBorders>
              <w:top w:val="nil"/>
              <w:left w:val="single" w:color="auto" w:sz="4" w:space="0"/>
              <w:bottom w:val="nil"/>
              <w:right w:val="single" w:color="auto" w:sz="4" w:space="0"/>
            </w:tcBorders>
            <w:vAlign w:val="center"/>
          </w:tcPr>
          <w:p w14:paraId="6ADC76AF">
            <w:pPr>
              <w:spacing w:line="48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需要补充的其他内容</w:t>
            </w:r>
          </w:p>
        </w:tc>
        <w:tc>
          <w:tcPr>
            <w:tcW w:w="5387" w:type="dxa"/>
            <w:tcBorders>
              <w:top w:val="nil"/>
              <w:left w:val="single" w:color="auto" w:sz="4" w:space="0"/>
              <w:bottom w:val="nil"/>
              <w:right w:val="nil"/>
            </w:tcBorders>
            <w:vAlign w:val="center"/>
          </w:tcPr>
          <w:p w14:paraId="413BB9C1">
            <w:pPr>
              <w:spacing w:line="48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当各响应人响应报价增值税税率不一致时，以不含税金额作为评审依据。</w:t>
            </w:r>
          </w:p>
        </w:tc>
      </w:tr>
    </w:tbl>
    <w:p w14:paraId="57D35226">
      <w:pPr>
        <w:keepNext w:val="0"/>
        <w:keepLines w:val="0"/>
        <w:spacing w:before="0" w:beforeLines="-2147483648" w:after="0" w:afterLines="-2147483648" w:line="240" w:lineRule="auto"/>
        <w:outlineLvl w:val="9"/>
        <w:rPr>
          <w:rFonts w:hint="eastAsia" w:ascii="Times New Roman" w:hAnsi="Times New Roman" w:cs="Times New Roman"/>
          <w:color w:val="auto"/>
          <w:szCs w:val="21"/>
          <w:highlight w:val="none"/>
        </w:rPr>
      </w:pPr>
    </w:p>
    <w:p w14:paraId="0E3D7B03">
      <w:pPr>
        <w:keepNext w:val="0"/>
        <w:keepLines w:val="0"/>
        <w:spacing w:before="0" w:beforeLines="-2147483648" w:after="0" w:afterLines="-2147483648" w:line="240" w:lineRule="auto"/>
        <w:outlineLvl w:val="9"/>
        <w:rPr>
          <w:color w:val="auto"/>
          <w:highlight w:val="none"/>
        </w:rPr>
      </w:pPr>
      <w:r>
        <w:rPr>
          <w:rFonts w:hint="eastAsia" w:ascii="Times New Roman" w:hAnsi="Times New Roman" w:cs="Times New Roman"/>
          <w:color w:val="auto"/>
          <w:szCs w:val="21"/>
          <w:highlight w:val="none"/>
        </w:rPr>
        <w:t>注：供应商须知正文</w:t>
      </w:r>
      <w:r>
        <w:rPr>
          <w:rFonts w:ascii="Times New Roman" w:hAnsi="Times New Roman" w:cs="Times New Roman"/>
          <w:color w:val="auto"/>
          <w:szCs w:val="21"/>
          <w:highlight w:val="none"/>
        </w:rPr>
        <w:t>与前附表</w:t>
      </w:r>
      <w:r>
        <w:rPr>
          <w:rFonts w:hint="eastAsia" w:ascii="Times New Roman" w:hAnsi="Times New Roman" w:cs="Times New Roman"/>
          <w:color w:val="auto"/>
          <w:szCs w:val="21"/>
          <w:highlight w:val="none"/>
        </w:rPr>
        <w:t>内容</w:t>
      </w:r>
      <w:r>
        <w:rPr>
          <w:rFonts w:ascii="Times New Roman" w:hAnsi="Times New Roman" w:cs="Times New Roman"/>
          <w:color w:val="auto"/>
          <w:szCs w:val="21"/>
          <w:highlight w:val="none"/>
        </w:rPr>
        <w:t>不一致</w:t>
      </w:r>
      <w:r>
        <w:rPr>
          <w:rFonts w:hint="eastAsia" w:ascii="Times New Roman" w:hAnsi="Times New Roman" w:cs="Times New Roman"/>
          <w:color w:val="auto"/>
          <w:szCs w:val="21"/>
          <w:highlight w:val="none"/>
        </w:rPr>
        <w:t>时</w:t>
      </w:r>
      <w:r>
        <w:rPr>
          <w:rFonts w:ascii="Times New Roman" w:hAnsi="Times New Roman" w:cs="Times New Roman"/>
          <w:color w:val="auto"/>
          <w:szCs w:val="21"/>
          <w:highlight w:val="none"/>
        </w:rPr>
        <w:t>，以供应商</w:t>
      </w:r>
      <w:r>
        <w:rPr>
          <w:rFonts w:hint="eastAsia" w:ascii="Times New Roman" w:hAnsi="Times New Roman" w:cs="Times New Roman"/>
          <w:color w:val="auto"/>
          <w:szCs w:val="21"/>
          <w:highlight w:val="none"/>
        </w:rPr>
        <w:t>须知</w:t>
      </w:r>
      <w:r>
        <w:rPr>
          <w:rFonts w:ascii="Times New Roman" w:hAnsi="Times New Roman" w:cs="Times New Roman"/>
          <w:color w:val="auto"/>
          <w:szCs w:val="21"/>
          <w:highlight w:val="none"/>
        </w:rPr>
        <w:t>前附表</w:t>
      </w:r>
      <w:r>
        <w:rPr>
          <w:rFonts w:hint="eastAsia" w:ascii="Times New Roman" w:hAnsi="Times New Roman" w:cs="Times New Roman"/>
          <w:color w:val="auto"/>
          <w:szCs w:val="21"/>
          <w:highlight w:val="none"/>
        </w:rPr>
        <w:t>的</w:t>
      </w:r>
      <w:r>
        <w:rPr>
          <w:rFonts w:ascii="Times New Roman" w:hAnsi="Times New Roman" w:cs="Times New Roman"/>
          <w:color w:val="auto"/>
          <w:szCs w:val="21"/>
          <w:highlight w:val="none"/>
        </w:rPr>
        <w:t>内容为准</w:t>
      </w: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相应条款无相关要求的在前附表中打“/”。</w:t>
      </w:r>
    </w:p>
    <w:p w14:paraId="38E30BF7">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bookmarkStart w:id="60" w:name="_Toc29686"/>
      <w:r>
        <w:rPr>
          <w:rFonts w:ascii="Times New Roman" w:hAnsi="Times New Roman" w:eastAsia="黑体" w:cs="Times New Roman"/>
          <w:bCs/>
          <w:color w:val="auto"/>
          <w:sz w:val="24"/>
          <w:szCs w:val="32"/>
          <w:highlight w:val="none"/>
        </w:rPr>
        <w:t>1. 总则</w:t>
      </w:r>
      <w:bookmarkEnd w:id="57"/>
      <w:bookmarkEnd w:id="58"/>
      <w:bookmarkEnd w:id="59"/>
      <w:bookmarkEnd w:id="60"/>
    </w:p>
    <w:p w14:paraId="5958EDDE">
      <w:pPr>
        <w:keepNext/>
        <w:keepLines/>
        <w:spacing w:before="120" w:after="120"/>
        <w:outlineLvl w:val="2"/>
        <w:rPr>
          <w:rFonts w:hint="eastAsia" w:ascii="Times New Roman" w:hAnsi="Times New Roman" w:eastAsia="黑体" w:cs="Times New Roman"/>
          <w:bCs/>
          <w:color w:val="auto"/>
          <w:sz w:val="24"/>
          <w:szCs w:val="32"/>
          <w:highlight w:val="none"/>
          <w:lang w:eastAsia="zh-CN"/>
        </w:rPr>
      </w:pPr>
      <w:bookmarkStart w:id="61" w:name="_Toc26656939"/>
      <w:bookmarkStart w:id="62" w:name="_Toc14201208"/>
      <w:bookmarkStart w:id="63" w:name="_Toc19168"/>
      <w:r>
        <w:rPr>
          <w:rFonts w:ascii="Times New Roman" w:hAnsi="Times New Roman" w:eastAsia="黑体" w:cs="Times New Roman"/>
          <w:bCs/>
          <w:color w:val="auto"/>
          <w:sz w:val="24"/>
          <w:szCs w:val="32"/>
          <w:highlight w:val="none"/>
        </w:rPr>
        <w:t xml:space="preserve">1.1 </w:t>
      </w:r>
      <w:bookmarkEnd w:id="61"/>
      <w:bookmarkEnd w:id="62"/>
      <w:bookmarkStart w:id="64" w:name="_Toc14201210"/>
      <w:bookmarkStart w:id="65" w:name="_Toc26656941"/>
      <w:r>
        <w:rPr>
          <w:rFonts w:ascii="Times New Roman" w:hAnsi="Times New Roman" w:eastAsia="黑体" w:cs="Times New Roman"/>
          <w:bCs/>
          <w:color w:val="auto"/>
          <w:sz w:val="24"/>
          <w:szCs w:val="32"/>
          <w:highlight w:val="none"/>
        </w:rPr>
        <w:t>质量要求和</w:t>
      </w:r>
      <w:bookmarkEnd w:id="64"/>
      <w:bookmarkEnd w:id="65"/>
      <w:r>
        <w:rPr>
          <w:rFonts w:hint="eastAsia" w:ascii="Times New Roman" w:hAnsi="Times New Roman" w:eastAsia="黑体" w:cs="Times New Roman"/>
          <w:bCs/>
          <w:color w:val="auto"/>
          <w:sz w:val="24"/>
          <w:szCs w:val="32"/>
          <w:highlight w:val="none"/>
          <w:lang w:eastAsia="zh-CN"/>
        </w:rPr>
        <w:t>安全目标</w:t>
      </w:r>
      <w:bookmarkEnd w:id="63"/>
    </w:p>
    <w:p w14:paraId="51600406">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1</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1</w:t>
      </w:r>
      <w:r>
        <w:rPr>
          <w:rFonts w:ascii="Times New Roman" w:hAnsi="Times New Roman" w:cs="Times New Roman"/>
          <w:color w:val="auto"/>
          <w:szCs w:val="21"/>
          <w:highlight w:val="none"/>
        </w:rPr>
        <w:t xml:space="preserve"> 本合同包的质量要求：</w:t>
      </w:r>
      <w:r>
        <w:rPr>
          <w:rFonts w:hint="eastAsia" w:ascii="Times New Roman" w:hAnsi="Times New Roman" w:cs="Times New Roman"/>
          <w:color w:val="auto"/>
          <w:szCs w:val="21"/>
          <w:highlight w:val="none"/>
          <w:lang w:val="en-US" w:eastAsia="zh-CN"/>
        </w:rPr>
        <w:t>见供应商须知前附表</w:t>
      </w:r>
      <w:r>
        <w:rPr>
          <w:rFonts w:hint="eastAsia" w:ascii="Times New Roman" w:hAnsi="Times New Roman" w:cs="Times New Roman"/>
          <w:color w:val="auto"/>
          <w:szCs w:val="21"/>
          <w:highlight w:val="none"/>
        </w:rPr>
        <w:t>。</w:t>
      </w:r>
    </w:p>
    <w:p w14:paraId="7CD18671">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1</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本合同包的</w:t>
      </w:r>
      <w:r>
        <w:rPr>
          <w:rFonts w:hint="eastAsia" w:ascii="Times New Roman" w:hAnsi="Times New Roman" w:cs="Times New Roman"/>
          <w:color w:val="auto"/>
          <w:szCs w:val="21"/>
          <w:highlight w:val="none"/>
          <w:lang w:eastAsia="zh-CN"/>
        </w:rPr>
        <w:t>安全目标</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见供应商须知前附表</w:t>
      </w:r>
      <w:r>
        <w:rPr>
          <w:rFonts w:hint="eastAsia" w:ascii="Times New Roman" w:hAnsi="Times New Roman" w:cs="Times New Roman"/>
          <w:color w:val="auto"/>
          <w:szCs w:val="21"/>
          <w:highlight w:val="none"/>
        </w:rPr>
        <w:t>。</w:t>
      </w:r>
    </w:p>
    <w:p w14:paraId="2D959197">
      <w:pPr>
        <w:keepNext/>
        <w:keepLines/>
        <w:spacing w:before="120" w:after="120"/>
        <w:outlineLvl w:val="2"/>
        <w:rPr>
          <w:rFonts w:ascii="Times New Roman" w:hAnsi="Times New Roman" w:eastAsia="黑体" w:cs="Times New Roman"/>
          <w:bCs/>
          <w:color w:val="auto"/>
          <w:sz w:val="24"/>
          <w:szCs w:val="32"/>
          <w:highlight w:val="none"/>
        </w:rPr>
      </w:pPr>
      <w:bookmarkStart w:id="66" w:name="_Toc26656942"/>
      <w:bookmarkStart w:id="67" w:name="_Toc14201211"/>
      <w:bookmarkStart w:id="68" w:name="_Toc12253"/>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bookmarkEnd w:id="66"/>
      <w:bookmarkEnd w:id="67"/>
      <w:bookmarkEnd w:id="68"/>
    </w:p>
    <w:p w14:paraId="0FBC57B1">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.1供应商应具备承担本合同包</w:t>
      </w:r>
      <w:r>
        <w:rPr>
          <w:rFonts w:hint="eastAsia" w:ascii="Times New Roman" w:hAnsi="Times New Roman" w:cs="Times New Roman"/>
          <w:color w:val="auto"/>
          <w:szCs w:val="21"/>
          <w:highlight w:val="none"/>
        </w:rPr>
        <w:t>服务</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采购公告第3.1款要求</w:t>
      </w:r>
      <w:r>
        <w:rPr>
          <w:rFonts w:ascii="Times New Roman" w:hAnsi="Times New Roman" w:cs="Times New Roman"/>
          <w:color w:val="auto"/>
          <w:szCs w:val="21"/>
          <w:highlight w:val="none"/>
        </w:rPr>
        <w:t>。</w:t>
      </w:r>
    </w:p>
    <w:p w14:paraId="2ABD382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w:t>
      </w:r>
      <w:r>
        <w:rPr>
          <w:rFonts w:hint="eastAsia" w:ascii="Times New Roman" w:hAnsi="Times New Roman" w:cs="Times New Roman"/>
          <w:color w:val="auto"/>
          <w:szCs w:val="21"/>
          <w:highlight w:val="none"/>
          <w:lang w:val="en-US" w:eastAsia="zh-CN"/>
        </w:rPr>
        <w:t>见供应商须知前附表</w:t>
      </w:r>
      <w:r>
        <w:rPr>
          <w:rFonts w:ascii="Times New Roman" w:hAnsi="Times New Roman" w:cs="Times New Roman"/>
          <w:color w:val="auto"/>
          <w:szCs w:val="21"/>
          <w:highlight w:val="none"/>
        </w:rPr>
        <w:t>。</w:t>
      </w:r>
    </w:p>
    <w:p w14:paraId="17C54627">
      <w:pPr>
        <w:keepNext/>
        <w:keepLines/>
        <w:spacing w:before="120" w:after="120"/>
        <w:outlineLvl w:val="2"/>
        <w:rPr>
          <w:rFonts w:ascii="Times New Roman" w:hAnsi="Times New Roman" w:eastAsia="黑体" w:cs="Times New Roman"/>
          <w:bCs/>
          <w:color w:val="auto"/>
          <w:sz w:val="24"/>
          <w:szCs w:val="32"/>
          <w:highlight w:val="none"/>
        </w:rPr>
      </w:pPr>
      <w:bookmarkStart w:id="69" w:name="_Toc14201212"/>
      <w:bookmarkStart w:id="70" w:name="_Toc26656943"/>
      <w:bookmarkStart w:id="71" w:name="_Toc5863"/>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bookmarkEnd w:id="69"/>
      <w:bookmarkEnd w:id="70"/>
      <w:bookmarkEnd w:id="71"/>
    </w:p>
    <w:p w14:paraId="1B2F4EC8">
      <w:pPr>
        <w:spacing w:line="440" w:lineRule="exact"/>
        <w:ind w:firstLine="420"/>
        <w:rPr>
          <w:rFonts w:ascii="Times New Roman" w:hAnsi="Times New Roman" w:cs="Times New Roman"/>
          <w:color w:val="auto"/>
          <w:highlight w:val="none"/>
        </w:rPr>
      </w:pPr>
      <w:r>
        <w:rPr>
          <w:rFonts w:ascii="Times New Roman" w:hAnsi="Times New Roman" w:cs="Times New Roman"/>
          <w:color w:val="auto"/>
          <w:szCs w:val="21"/>
          <w:highlight w:val="none"/>
        </w:rPr>
        <w:t>供应商</w:t>
      </w:r>
      <w:r>
        <w:rPr>
          <w:rFonts w:ascii="Times New Roman" w:hAnsi="Times New Roman" w:cs="Times New Roman"/>
          <w:color w:val="auto"/>
          <w:highlight w:val="none"/>
        </w:rPr>
        <w:t>准备和参加询比活动发生的费用自理。</w:t>
      </w:r>
    </w:p>
    <w:p w14:paraId="3EB95255">
      <w:pPr>
        <w:keepNext/>
        <w:keepLines/>
        <w:spacing w:before="120" w:after="120"/>
        <w:outlineLvl w:val="2"/>
        <w:rPr>
          <w:rFonts w:ascii="Times New Roman" w:hAnsi="Times New Roman" w:eastAsia="黑体" w:cs="Times New Roman"/>
          <w:bCs/>
          <w:color w:val="auto"/>
          <w:sz w:val="24"/>
          <w:szCs w:val="32"/>
          <w:highlight w:val="none"/>
        </w:rPr>
      </w:pPr>
      <w:bookmarkStart w:id="72" w:name="_Toc14201213"/>
      <w:bookmarkStart w:id="73" w:name="_Toc26656944"/>
      <w:bookmarkStart w:id="74" w:name="_Toc26173"/>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bookmarkEnd w:id="72"/>
      <w:bookmarkEnd w:id="73"/>
      <w:bookmarkEnd w:id="74"/>
    </w:p>
    <w:p w14:paraId="7389367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53710AC5">
      <w:pPr>
        <w:keepNext/>
        <w:keepLines/>
        <w:spacing w:before="120" w:after="120"/>
        <w:outlineLvl w:val="2"/>
        <w:rPr>
          <w:rFonts w:ascii="Times New Roman" w:hAnsi="Times New Roman" w:eastAsia="黑体" w:cs="Times New Roman"/>
          <w:bCs/>
          <w:color w:val="auto"/>
          <w:sz w:val="24"/>
          <w:szCs w:val="32"/>
          <w:highlight w:val="none"/>
        </w:rPr>
      </w:pPr>
      <w:bookmarkStart w:id="75" w:name="_Toc14201215"/>
      <w:bookmarkStart w:id="76" w:name="_Toc26656946"/>
      <w:bookmarkStart w:id="77" w:name="_Toc22416"/>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bookmarkEnd w:id="75"/>
      <w:bookmarkEnd w:id="76"/>
      <w:bookmarkEnd w:id="77"/>
    </w:p>
    <w:p w14:paraId="2EA565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691C9497">
      <w:pPr>
        <w:keepNext/>
        <w:keepLines/>
        <w:spacing w:before="120" w:after="120"/>
        <w:outlineLvl w:val="2"/>
        <w:rPr>
          <w:rFonts w:ascii="Times New Roman" w:hAnsi="Times New Roman" w:eastAsia="黑体" w:cs="Times New Roman"/>
          <w:bCs/>
          <w:color w:val="auto"/>
          <w:sz w:val="24"/>
          <w:szCs w:val="32"/>
          <w:highlight w:val="none"/>
        </w:rPr>
      </w:pPr>
      <w:bookmarkStart w:id="78" w:name="_Toc14201216"/>
      <w:bookmarkStart w:id="79" w:name="_Toc26656947"/>
      <w:bookmarkStart w:id="80" w:name="_Toc24452"/>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bookmarkEnd w:id="78"/>
      <w:bookmarkEnd w:id="79"/>
      <w:bookmarkEnd w:id="80"/>
    </w:p>
    <w:p w14:paraId="03B87E0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53270128">
      <w:pPr>
        <w:keepNext/>
        <w:keepLines/>
        <w:spacing w:before="120" w:after="120"/>
        <w:outlineLvl w:val="2"/>
        <w:rPr>
          <w:rFonts w:ascii="Times New Roman" w:hAnsi="Times New Roman" w:eastAsia="黑体" w:cs="Times New Roman"/>
          <w:bCs/>
          <w:color w:val="auto"/>
          <w:sz w:val="24"/>
          <w:szCs w:val="32"/>
          <w:highlight w:val="none"/>
        </w:rPr>
      </w:pPr>
      <w:bookmarkStart w:id="81" w:name="_Toc14201218"/>
      <w:bookmarkStart w:id="82" w:name="_Toc26656949"/>
      <w:bookmarkStart w:id="83" w:name="_Toc1549"/>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bookmarkEnd w:id="81"/>
      <w:bookmarkEnd w:id="82"/>
      <w:bookmarkEnd w:id="83"/>
    </w:p>
    <w:p w14:paraId="43A69C15">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0278EED2">
      <w:pPr>
        <w:keepNext/>
        <w:keepLines/>
        <w:spacing w:before="120" w:after="120"/>
        <w:outlineLvl w:val="2"/>
        <w:rPr>
          <w:rFonts w:ascii="Times New Roman" w:hAnsi="Times New Roman" w:eastAsia="黑体" w:cs="Times New Roman"/>
          <w:bCs/>
          <w:color w:val="auto"/>
          <w:sz w:val="24"/>
          <w:szCs w:val="32"/>
          <w:highlight w:val="none"/>
        </w:rPr>
      </w:pPr>
      <w:bookmarkStart w:id="84" w:name="_Toc26656950"/>
      <w:bookmarkStart w:id="85" w:name="_Toc14201219"/>
      <w:bookmarkStart w:id="86" w:name="_Toc8376"/>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bookmarkEnd w:id="84"/>
      <w:bookmarkEnd w:id="85"/>
      <w:r>
        <w:rPr>
          <w:rFonts w:hint="eastAsia" w:ascii="Times New Roman" w:hAnsi="Times New Roman" w:eastAsia="黑体" w:cs="Times New Roman"/>
          <w:bCs/>
          <w:color w:val="auto"/>
          <w:sz w:val="24"/>
          <w:szCs w:val="32"/>
          <w:highlight w:val="none"/>
        </w:rPr>
        <w:t>差</w:t>
      </w:r>
      <w:bookmarkEnd w:id="86"/>
    </w:p>
    <w:p w14:paraId="5036A9B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1EC980A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响应文件存在第三章“评审办法”中所列任一否决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7920018C">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87" w:name="_Toc9067721"/>
      <w:bookmarkStart w:id="88" w:name="_Toc14201220"/>
      <w:bookmarkStart w:id="89" w:name="_Toc26656951"/>
      <w:bookmarkStart w:id="90" w:name="_Toc2454"/>
      <w:r>
        <w:rPr>
          <w:rFonts w:ascii="Times New Roman" w:hAnsi="Times New Roman" w:eastAsia="黑体" w:cs="Times New Roman"/>
          <w:bCs/>
          <w:color w:val="auto"/>
          <w:sz w:val="24"/>
          <w:szCs w:val="32"/>
          <w:highlight w:val="none"/>
        </w:rPr>
        <w:t xml:space="preserve">2. </w:t>
      </w:r>
      <w:bookmarkEnd w:id="87"/>
      <w:bookmarkEnd w:id="88"/>
      <w:bookmarkEnd w:id="89"/>
      <w:r>
        <w:rPr>
          <w:rFonts w:ascii="Times New Roman" w:hAnsi="Times New Roman" w:eastAsia="黑体" w:cs="Times New Roman"/>
          <w:bCs/>
          <w:color w:val="auto"/>
          <w:sz w:val="24"/>
          <w:szCs w:val="32"/>
          <w:highlight w:val="none"/>
        </w:rPr>
        <w:t>询比文件</w:t>
      </w:r>
      <w:bookmarkEnd w:id="90"/>
    </w:p>
    <w:p w14:paraId="0934C861">
      <w:pPr>
        <w:keepNext/>
        <w:keepLines/>
        <w:spacing w:before="120" w:after="120"/>
        <w:outlineLvl w:val="2"/>
        <w:rPr>
          <w:rFonts w:ascii="Times New Roman" w:hAnsi="Times New Roman" w:eastAsia="黑体" w:cs="Times New Roman"/>
          <w:bCs/>
          <w:color w:val="auto"/>
          <w:sz w:val="24"/>
          <w:szCs w:val="32"/>
          <w:highlight w:val="none"/>
        </w:rPr>
      </w:pPr>
      <w:bookmarkStart w:id="91" w:name="_Toc14201221"/>
      <w:bookmarkStart w:id="92" w:name="_Toc26656952"/>
      <w:bookmarkStart w:id="93" w:name="_Toc14666"/>
      <w:r>
        <w:rPr>
          <w:rFonts w:ascii="Times New Roman" w:hAnsi="Times New Roman" w:eastAsia="黑体" w:cs="Times New Roman"/>
          <w:bCs/>
          <w:color w:val="auto"/>
          <w:sz w:val="24"/>
          <w:szCs w:val="32"/>
          <w:highlight w:val="none"/>
        </w:rPr>
        <w:t>2.1 询比文件的组成</w:t>
      </w:r>
      <w:bookmarkEnd w:id="91"/>
      <w:bookmarkEnd w:id="92"/>
      <w:bookmarkEnd w:id="93"/>
    </w:p>
    <w:p w14:paraId="51B1905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6BB07F3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C98552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60E09E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291F976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（4）合同</w:t>
      </w:r>
      <w:r>
        <w:rPr>
          <w:rFonts w:hint="eastAsia" w:ascii="Times New Roman" w:hAnsi="Times New Roman" w:cs="Times New Roman"/>
          <w:color w:val="auto"/>
          <w:highlight w:val="none"/>
          <w:lang w:val="en-US" w:eastAsia="zh-CN"/>
        </w:rPr>
        <w:t>内容</w:t>
      </w:r>
      <w:r>
        <w:rPr>
          <w:rFonts w:ascii="Times New Roman" w:hAnsi="Times New Roman" w:cs="Times New Roman"/>
          <w:color w:val="auto"/>
          <w:highlight w:val="none"/>
        </w:rPr>
        <w:t>；</w:t>
      </w:r>
    </w:p>
    <w:p w14:paraId="474F12E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（5）采购需求及清单；</w:t>
      </w:r>
    </w:p>
    <w:p w14:paraId="0483A90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（6）响应文件格式</w:t>
      </w:r>
      <w:r>
        <w:rPr>
          <w:rFonts w:hint="eastAsia" w:ascii="Times New Roman" w:hAnsi="Times New Roman" w:cs="Times New Roman"/>
          <w:color w:val="auto"/>
          <w:highlight w:val="none"/>
        </w:rPr>
        <w:t>。</w:t>
      </w:r>
    </w:p>
    <w:p w14:paraId="5A70855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根据本章第2.2款对询比文件所作的澄清、修改，构成询比文件的组成部分。</w:t>
      </w:r>
    </w:p>
    <w:p w14:paraId="09549A3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12FC8388">
      <w:pPr>
        <w:keepNext/>
        <w:keepLines/>
        <w:spacing w:before="120" w:after="120"/>
        <w:outlineLvl w:val="2"/>
        <w:rPr>
          <w:rFonts w:ascii="Times New Roman" w:hAnsi="Times New Roman" w:eastAsia="黑体" w:cs="Times New Roman"/>
          <w:bCs/>
          <w:color w:val="auto"/>
          <w:sz w:val="24"/>
          <w:szCs w:val="32"/>
          <w:highlight w:val="none"/>
        </w:rPr>
      </w:pPr>
      <w:bookmarkStart w:id="94" w:name="_Toc26656953"/>
      <w:bookmarkStart w:id="95" w:name="_Toc14201222"/>
      <w:bookmarkStart w:id="96" w:name="_Toc27763"/>
      <w:r>
        <w:rPr>
          <w:rFonts w:ascii="Times New Roman" w:hAnsi="Times New Roman" w:eastAsia="黑体" w:cs="Times New Roman"/>
          <w:bCs/>
          <w:color w:val="auto"/>
          <w:sz w:val="24"/>
          <w:szCs w:val="32"/>
          <w:highlight w:val="none"/>
        </w:rPr>
        <w:t>2.2 询比文件的澄清</w:t>
      </w:r>
      <w:bookmarkEnd w:id="94"/>
      <w:bookmarkEnd w:id="95"/>
      <w:r>
        <w:rPr>
          <w:rFonts w:hint="eastAsia" w:ascii="Times New Roman" w:hAnsi="Times New Roman" w:eastAsia="黑体" w:cs="Times New Roman"/>
          <w:bCs/>
          <w:color w:val="auto"/>
          <w:sz w:val="24"/>
          <w:szCs w:val="32"/>
          <w:highlight w:val="none"/>
        </w:rPr>
        <w:t>与修改</w:t>
      </w:r>
      <w:bookmarkEnd w:id="96"/>
    </w:p>
    <w:p w14:paraId="03A2BFC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3日</w:t>
      </w:r>
      <w:r>
        <w:rPr>
          <w:rFonts w:ascii="Times New Roman" w:hAnsi="Times New Roman" w:cs="Times New Roman"/>
          <w:color w:val="auto"/>
          <w:highlight w:val="none"/>
        </w:rPr>
        <w:t>前</w:t>
      </w:r>
      <w:r>
        <w:rPr>
          <w:rFonts w:hint="eastAsia" w:ascii="Times New Roman" w:hAnsi="Times New Roman" w:cs="Times New Roman"/>
          <w:color w:val="auto"/>
          <w:highlight w:val="none"/>
        </w:rPr>
        <w:t>联系</w:t>
      </w:r>
      <w:r>
        <w:rPr>
          <w:rFonts w:ascii="Times New Roman" w:hAnsi="Times New Roman" w:cs="Times New Roman"/>
          <w:color w:val="auto"/>
          <w:highlight w:val="none"/>
        </w:rPr>
        <w:t>采购人对询比文件予以澄清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36C51F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03CC5422">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97" w:name="_Toc14201225"/>
      <w:bookmarkStart w:id="98" w:name="_Toc26656956"/>
      <w:bookmarkStart w:id="99" w:name="_Toc9067722"/>
      <w:bookmarkStart w:id="100" w:name="_Toc18586"/>
      <w:r>
        <w:rPr>
          <w:rFonts w:ascii="Times New Roman" w:hAnsi="Times New Roman" w:eastAsia="黑体" w:cs="Times New Roman"/>
          <w:bCs/>
          <w:color w:val="auto"/>
          <w:sz w:val="24"/>
          <w:szCs w:val="32"/>
          <w:highlight w:val="none"/>
        </w:rPr>
        <w:t xml:space="preserve">3. </w:t>
      </w:r>
      <w:bookmarkEnd w:id="97"/>
      <w:bookmarkEnd w:id="98"/>
      <w:bookmarkEnd w:id="99"/>
      <w:r>
        <w:rPr>
          <w:rFonts w:ascii="Times New Roman" w:hAnsi="Times New Roman" w:eastAsia="黑体" w:cs="Times New Roman"/>
          <w:bCs/>
          <w:color w:val="auto"/>
          <w:sz w:val="24"/>
          <w:szCs w:val="32"/>
          <w:highlight w:val="none"/>
        </w:rPr>
        <w:t>响应文件</w:t>
      </w:r>
      <w:bookmarkEnd w:id="100"/>
    </w:p>
    <w:p w14:paraId="60F34FCD">
      <w:pPr>
        <w:keepNext/>
        <w:keepLines/>
        <w:spacing w:before="120" w:after="120"/>
        <w:outlineLvl w:val="2"/>
        <w:rPr>
          <w:rFonts w:ascii="Times New Roman" w:hAnsi="Times New Roman" w:eastAsia="黑体" w:cs="Times New Roman"/>
          <w:bCs/>
          <w:color w:val="auto"/>
          <w:sz w:val="24"/>
          <w:szCs w:val="32"/>
          <w:highlight w:val="none"/>
        </w:rPr>
      </w:pPr>
      <w:bookmarkStart w:id="101" w:name="_Toc26656957"/>
      <w:bookmarkStart w:id="102" w:name="_Toc14201226"/>
      <w:bookmarkStart w:id="103" w:name="_Toc24045"/>
      <w:r>
        <w:rPr>
          <w:rFonts w:ascii="Times New Roman" w:hAnsi="Times New Roman" w:eastAsia="黑体" w:cs="Times New Roman"/>
          <w:bCs/>
          <w:color w:val="auto"/>
          <w:sz w:val="24"/>
          <w:szCs w:val="32"/>
          <w:highlight w:val="none"/>
        </w:rPr>
        <w:t>3.1响应文件的组成</w:t>
      </w:r>
      <w:bookmarkEnd w:id="101"/>
      <w:bookmarkEnd w:id="102"/>
      <w:bookmarkEnd w:id="103"/>
    </w:p>
    <w:p w14:paraId="01EE877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538F5113">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（1）</w:t>
      </w:r>
      <w:r>
        <w:rPr>
          <w:rFonts w:ascii="Times New Roman" w:hAnsi="Times New Roman" w:cs="Times New Roman"/>
          <w:color w:val="auto"/>
          <w:highlight w:val="none"/>
        </w:rPr>
        <w:t>报价函</w:t>
      </w:r>
      <w:r>
        <w:rPr>
          <w:rFonts w:hint="eastAsia" w:ascii="Times New Roman" w:hAnsi="Times New Roman" w:cs="Times New Roman"/>
          <w:color w:val="auto"/>
          <w:highlight w:val="none"/>
        </w:rPr>
        <w:t>；</w:t>
      </w:r>
    </w:p>
    <w:p w14:paraId="40B23ED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（2）</w:t>
      </w:r>
      <w:r>
        <w:rPr>
          <w:rFonts w:ascii="Times New Roman" w:hAnsi="Times New Roman" w:cs="Times New Roman"/>
          <w:color w:val="auto"/>
          <w:highlight w:val="none"/>
        </w:rPr>
        <w:t>法定代表人身份证明及授权委托书</w:t>
      </w:r>
      <w:r>
        <w:rPr>
          <w:rFonts w:hint="eastAsia" w:ascii="Times New Roman" w:hAnsi="Times New Roman" w:cs="Times New Roman"/>
          <w:color w:val="auto"/>
          <w:highlight w:val="none"/>
        </w:rPr>
        <w:t>；</w:t>
      </w:r>
    </w:p>
    <w:p w14:paraId="4DBCCF7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已标价的</w:t>
      </w:r>
      <w:r>
        <w:rPr>
          <w:rFonts w:hint="eastAsia" w:ascii="Times New Roman" w:hAnsi="Times New Roman" w:cs="Times New Roman"/>
          <w:color w:val="auto"/>
          <w:highlight w:val="none"/>
        </w:rPr>
        <w:t>报价清单；</w:t>
      </w:r>
    </w:p>
    <w:p w14:paraId="1A0FF87B">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供应商基本情况</w:t>
      </w:r>
      <w:r>
        <w:rPr>
          <w:rFonts w:hint="eastAsia" w:ascii="Times New Roman" w:hAnsi="Times New Roman" w:cs="Times New Roman"/>
          <w:color w:val="auto"/>
          <w:highlight w:val="none"/>
        </w:rPr>
        <w:t>；</w:t>
      </w:r>
    </w:p>
    <w:p w14:paraId="734EEF18">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近年类似业绩情况</w:t>
      </w:r>
      <w:r>
        <w:rPr>
          <w:rFonts w:hint="eastAsia" w:ascii="Times New Roman" w:hAnsi="Times New Roman" w:cs="Times New Roman"/>
          <w:color w:val="auto"/>
          <w:highlight w:val="none"/>
        </w:rPr>
        <w:t>；</w:t>
      </w:r>
    </w:p>
    <w:p w14:paraId="709B6FB4">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拟委</w:t>
      </w:r>
      <w:r>
        <w:rPr>
          <w:rFonts w:hint="eastAsia" w:ascii="Times New Roman" w:hAnsi="Times New Roman" w:cs="Times New Roman"/>
          <w:color w:val="auto"/>
          <w:highlight w:val="none"/>
          <w:lang w:val="en-US" w:eastAsia="zh-CN"/>
        </w:rPr>
        <w:t>派</w:t>
      </w:r>
      <w:r>
        <w:rPr>
          <w:rFonts w:ascii="Times New Roman" w:hAnsi="Times New Roman" w:cs="Times New Roman"/>
          <w:color w:val="auto"/>
          <w:highlight w:val="none"/>
        </w:rPr>
        <w:t>的主要人员</w:t>
      </w:r>
      <w:r>
        <w:rPr>
          <w:rFonts w:hint="eastAsia" w:ascii="Times New Roman" w:hAnsi="Times New Roman" w:cs="Times New Roman"/>
          <w:color w:val="auto"/>
          <w:highlight w:val="none"/>
        </w:rPr>
        <w:t>；</w:t>
      </w:r>
    </w:p>
    <w:p w14:paraId="41AC0CBB">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（7）</w:t>
      </w:r>
      <w:r>
        <w:rPr>
          <w:rFonts w:ascii="Times New Roman" w:hAnsi="Times New Roman" w:cs="Times New Roman"/>
          <w:color w:val="auto"/>
          <w:highlight w:val="none"/>
        </w:rPr>
        <w:t>信誉情况</w:t>
      </w:r>
      <w:r>
        <w:rPr>
          <w:rFonts w:hint="eastAsia" w:ascii="Times New Roman" w:hAnsi="Times New Roman" w:cs="Times New Roman"/>
          <w:color w:val="auto"/>
          <w:highlight w:val="none"/>
        </w:rPr>
        <w:t>；</w:t>
      </w:r>
    </w:p>
    <w:p w14:paraId="7C1B96E8">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（8）</w:t>
      </w:r>
      <w:r>
        <w:rPr>
          <w:rFonts w:hint="eastAsia" w:ascii="Times New Roman" w:hAnsi="Times New Roman" w:cs="Times New Roman"/>
          <w:color w:val="auto"/>
          <w:highlight w:val="none"/>
          <w:lang w:val="en-US" w:eastAsia="zh-CN"/>
        </w:rPr>
        <w:t>服务</w:t>
      </w:r>
      <w:r>
        <w:rPr>
          <w:rFonts w:hint="eastAsia" w:ascii="Times New Roman" w:hAnsi="Times New Roman" w:cs="Times New Roman"/>
          <w:color w:val="auto"/>
          <w:highlight w:val="none"/>
        </w:rPr>
        <w:t>方案；</w:t>
      </w:r>
    </w:p>
    <w:p w14:paraId="6250E985">
      <w:pPr>
        <w:keepNext/>
        <w:keepLines/>
        <w:spacing w:before="120" w:after="120"/>
        <w:outlineLvl w:val="2"/>
        <w:rPr>
          <w:rFonts w:ascii="Times New Roman" w:hAnsi="Times New Roman" w:eastAsia="黑体" w:cs="Times New Roman"/>
          <w:bCs/>
          <w:color w:val="auto"/>
          <w:sz w:val="24"/>
          <w:szCs w:val="32"/>
          <w:highlight w:val="none"/>
        </w:rPr>
      </w:pPr>
      <w:bookmarkStart w:id="104" w:name="_Toc14201227"/>
      <w:bookmarkStart w:id="105" w:name="_Toc26656958"/>
      <w:bookmarkStart w:id="106" w:name="_Toc16528"/>
      <w:r>
        <w:rPr>
          <w:rFonts w:ascii="Times New Roman" w:hAnsi="Times New Roman" w:eastAsia="黑体" w:cs="Times New Roman"/>
          <w:bCs/>
          <w:color w:val="auto"/>
          <w:sz w:val="24"/>
          <w:szCs w:val="32"/>
          <w:highlight w:val="none"/>
        </w:rPr>
        <w:t>3.2 报价</w:t>
      </w:r>
      <w:bookmarkEnd w:id="104"/>
      <w:bookmarkEnd w:id="105"/>
      <w:r>
        <w:rPr>
          <w:rFonts w:ascii="Times New Roman" w:hAnsi="Times New Roman" w:eastAsia="黑体" w:cs="Times New Roman"/>
          <w:bCs/>
          <w:color w:val="auto"/>
          <w:sz w:val="24"/>
          <w:szCs w:val="32"/>
          <w:highlight w:val="none"/>
        </w:rPr>
        <w:t>要求</w:t>
      </w:r>
      <w:bookmarkEnd w:id="106"/>
      <w:r>
        <w:rPr>
          <w:rFonts w:ascii="Times New Roman" w:hAnsi="Times New Roman" w:eastAsia="黑体" w:cs="Times New Roman"/>
          <w:bCs/>
          <w:color w:val="auto"/>
          <w:sz w:val="24"/>
          <w:szCs w:val="32"/>
          <w:highlight w:val="none"/>
        </w:rPr>
        <w:t xml:space="preserve"> </w:t>
      </w:r>
    </w:p>
    <w:p w14:paraId="20AF1D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rPr>
        <w:t>，供应商应提供增值税（专用）发票</w:t>
      </w:r>
      <w:r>
        <w:rPr>
          <w:rFonts w:ascii="Times New Roman" w:hAnsi="Times New Roman" w:cs="Times New Roman"/>
          <w:color w:val="auto"/>
          <w:highlight w:val="none"/>
        </w:rPr>
        <w:t>。</w:t>
      </w:r>
    </w:p>
    <w:p w14:paraId="0B99A98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w:t>
      </w:r>
      <w:r>
        <w:rPr>
          <w:rFonts w:hint="eastAsia" w:ascii="Times New Roman" w:hAnsi="Times New Roman" w:cs="Times New Roman"/>
          <w:color w:val="auto"/>
          <w:highlight w:val="none"/>
        </w:rPr>
        <w:t>报价清单</w:t>
      </w:r>
      <w:r>
        <w:rPr>
          <w:rFonts w:ascii="Times New Roman" w:hAnsi="Times New Roman" w:cs="Times New Roman"/>
          <w:color w:val="auto"/>
          <w:highlight w:val="none"/>
        </w:rPr>
        <w:t>相应表格。</w:t>
      </w:r>
    </w:p>
    <w:p w14:paraId="5787C3B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第2.5款</w:t>
      </w:r>
      <w:r>
        <w:rPr>
          <w:rFonts w:ascii="Times New Roman" w:hAnsi="Times New Roman" w:cs="Times New Roman"/>
          <w:color w:val="auto"/>
          <w:highlight w:val="none"/>
        </w:rPr>
        <w:t>。</w:t>
      </w:r>
    </w:p>
    <w:p w14:paraId="70A1A3D7">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lang w:val="en-US" w:eastAsia="zh-CN"/>
        </w:rPr>
        <w:t xml:space="preserve"> 单</w:t>
      </w:r>
      <w:r>
        <w:rPr>
          <w:rFonts w:hint="eastAsia" w:ascii="Times New Roman" w:hAnsi="Times New Roman" w:cs="Times New Roman"/>
          <w:color w:val="auto"/>
          <w:highlight w:val="none"/>
          <w:u w:val="single"/>
        </w:rPr>
        <w:t>价</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w:t>
      </w:r>
    </w:p>
    <w:p w14:paraId="2121598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lang w:val="en-US" w:eastAsia="zh-CN"/>
        </w:rPr>
        <w:t>见供应商须知前附表</w:t>
      </w:r>
      <w:r>
        <w:rPr>
          <w:rFonts w:ascii="Times New Roman" w:hAnsi="Times New Roman" w:cs="Times New Roman"/>
          <w:color w:val="auto"/>
          <w:highlight w:val="none"/>
        </w:rPr>
        <w:t>。</w:t>
      </w:r>
    </w:p>
    <w:p w14:paraId="56801698">
      <w:pPr>
        <w:keepNext/>
        <w:keepLines/>
        <w:spacing w:before="120" w:after="120"/>
        <w:outlineLvl w:val="2"/>
        <w:rPr>
          <w:rFonts w:ascii="Times New Roman" w:hAnsi="Times New Roman" w:eastAsia="黑体" w:cs="Times New Roman"/>
          <w:bCs/>
          <w:color w:val="auto"/>
          <w:sz w:val="24"/>
          <w:szCs w:val="32"/>
          <w:highlight w:val="none"/>
        </w:rPr>
      </w:pPr>
      <w:bookmarkStart w:id="107" w:name="_Toc26656959"/>
      <w:bookmarkStart w:id="108" w:name="_Toc14201228"/>
      <w:bookmarkStart w:id="109" w:name="_Toc4360"/>
      <w:r>
        <w:rPr>
          <w:rFonts w:ascii="Times New Roman" w:hAnsi="Times New Roman" w:eastAsia="黑体" w:cs="Times New Roman"/>
          <w:bCs/>
          <w:color w:val="auto"/>
          <w:sz w:val="24"/>
          <w:szCs w:val="32"/>
          <w:highlight w:val="none"/>
        </w:rPr>
        <w:t>3.3</w:t>
      </w:r>
      <w:bookmarkEnd w:id="107"/>
      <w:bookmarkEnd w:id="108"/>
      <w:r>
        <w:rPr>
          <w:rFonts w:ascii="Times New Roman" w:hAnsi="Times New Roman" w:eastAsia="黑体" w:cs="Times New Roman"/>
          <w:bCs/>
          <w:color w:val="auto"/>
          <w:sz w:val="24"/>
          <w:szCs w:val="32"/>
          <w:highlight w:val="none"/>
        </w:rPr>
        <w:t>响应有效期</w:t>
      </w:r>
      <w:bookmarkEnd w:id="109"/>
    </w:p>
    <w:p w14:paraId="2CF8500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2E6CE63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2D1B1237">
      <w:pPr>
        <w:keepNext/>
        <w:keepLines/>
        <w:spacing w:before="120" w:after="120" w:line="415" w:lineRule="auto"/>
        <w:outlineLvl w:val="2"/>
        <w:rPr>
          <w:rFonts w:ascii="Times New Roman" w:hAnsi="Times New Roman" w:eastAsia="黑体" w:cs="Times New Roman"/>
          <w:bCs/>
          <w:color w:val="auto"/>
          <w:sz w:val="24"/>
          <w:szCs w:val="32"/>
          <w:highlight w:val="none"/>
        </w:rPr>
      </w:pPr>
      <w:bookmarkStart w:id="110" w:name="_Toc26656960"/>
      <w:bookmarkStart w:id="111" w:name="_Toc14201229"/>
      <w:bookmarkStart w:id="112" w:name="_Toc21996"/>
      <w:r>
        <w:rPr>
          <w:rFonts w:ascii="Times New Roman" w:hAnsi="Times New Roman" w:eastAsia="黑体" w:cs="Times New Roman"/>
          <w:bCs/>
          <w:color w:val="auto"/>
          <w:sz w:val="24"/>
          <w:szCs w:val="32"/>
          <w:highlight w:val="none"/>
        </w:rPr>
        <w:t>3.4</w:t>
      </w:r>
      <w:bookmarkEnd w:id="110"/>
      <w:bookmarkEnd w:id="111"/>
      <w:r>
        <w:rPr>
          <w:rFonts w:ascii="Times New Roman" w:hAnsi="Times New Roman" w:eastAsia="黑体" w:cs="Times New Roman"/>
          <w:bCs/>
          <w:color w:val="auto"/>
          <w:sz w:val="24"/>
          <w:szCs w:val="32"/>
          <w:highlight w:val="none"/>
        </w:rPr>
        <w:t>响应保证金</w:t>
      </w:r>
      <w:bookmarkEnd w:id="112"/>
    </w:p>
    <w:p w14:paraId="5817827E">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第7条的要求</w:t>
      </w:r>
      <w:r>
        <w:rPr>
          <w:rFonts w:ascii="Times New Roman" w:hAnsi="Times New Roman" w:cs="Times New Roman"/>
          <w:color w:val="auto"/>
          <w:highlight w:val="none"/>
        </w:rPr>
        <w:t>递交响应保证金，并作为其响应文件的组成部分。</w:t>
      </w:r>
    </w:p>
    <w:p w14:paraId="45D3F4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193AD36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61AEF3E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采购人在与成交人签订合同后5日内办理退还响应保证金手续。</w:t>
      </w:r>
    </w:p>
    <w:p w14:paraId="3A296E1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53A9AE9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6EB0CF1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70B975AD">
      <w:pPr>
        <w:spacing w:after="0" w:line="440" w:lineRule="exact"/>
        <w:ind w:firstLine="420"/>
        <w:rPr>
          <w:color w:val="auto"/>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供应商存在以他人名义报价、与他人串通报价、以行贿手段谋取成交、弄虚作假等行为</w:t>
      </w:r>
      <w:r>
        <w:rPr>
          <w:rFonts w:hint="eastAsia" w:ascii="Times New Roman" w:hAnsi="Times New Roman" w:cs="Times New Roman"/>
          <w:color w:val="auto"/>
          <w:highlight w:val="none"/>
          <w:lang w:eastAsia="zh-CN"/>
        </w:rPr>
        <w:t>；</w:t>
      </w:r>
    </w:p>
    <w:p w14:paraId="12042F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w:t>
      </w:r>
      <w:r>
        <w:rPr>
          <w:rFonts w:hint="eastAsia" w:ascii="Times New Roman" w:hAnsi="Times New Roman" w:cs="Times New Roman"/>
          <w:color w:val="auto"/>
          <w:szCs w:val="21"/>
          <w:highlight w:val="none"/>
          <w:lang w:val="en-US" w:eastAsia="zh-CN"/>
        </w:rPr>
        <w:t>见供应商须知前附表</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其他情形</w:t>
      </w:r>
      <w:r>
        <w:rPr>
          <w:rFonts w:hint="eastAsia" w:ascii="Times New Roman" w:hAnsi="Times New Roman" w:cs="Times New Roman"/>
          <w:color w:val="auto"/>
          <w:szCs w:val="21"/>
          <w:highlight w:val="none"/>
        </w:rPr>
        <w:t>）</w:t>
      </w:r>
      <w:r>
        <w:rPr>
          <w:rFonts w:ascii="Times New Roman" w:hAnsi="Times New Roman" w:cs="Times New Roman"/>
          <w:color w:val="auto"/>
          <w:highlight w:val="none"/>
        </w:rPr>
        <w:t>。</w:t>
      </w:r>
    </w:p>
    <w:p w14:paraId="68A1F76A">
      <w:pPr>
        <w:keepNext/>
        <w:keepLines/>
        <w:spacing w:before="120" w:after="120"/>
        <w:outlineLvl w:val="2"/>
        <w:rPr>
          <w:rFonts w:ascii="Times New Roman" w:hAnsi="Times New Roman" w:eastAsia="黑体" w:cs="Times New Roman"/>
          <w:bCs/>
          <w:color w:val="auto"/>
          <w:sz w:val="24"/>
          <w:szCs w:val="32"/>
          <w:highlight w:val="none"/>
        </w:rPr>
      </w:pPr>
      <w:bookmarkStart w:id="113" w:name="_Toc26656961"/>
      <w:bookmarkStart w:id="114" w:name="_Toc14201230"/>
      <w:bookmarkStart w:id="115" w:name="_Toc17928"/>
      <w:r>
        <w:rPr>
          <w:rFonts w:ascii="Times New Roman" w:hAnsi="Times New Roman" w:eastAsia="黑体" w:cs="Times New Roman"/>
          <w:bCs/>
          <w:color w:val="auto"/>
          <w:sz w:val="24"/>
          <w:szCs w:val="32"/>
          <w:highlight w:val="none"/>
        </w:rPr>
        <w:t>3.5资格审查资料</w:t>
      </w:r>
      <w:bookmarkEnd w:id="113"/>
      <w:bookmarkEnd w:id="114"/>
      <w:bookmarkEnd w:id="115"/>
    </w:p>
    <w:p w14:paraId="6ED30F6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供应商应按第六章“响应文件格式”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款规定的资质、业绩、信誉等要求。</w:t>
      </w:r>
    </w:p>
    <w:p w14:paraId="62329F89">
      <w:pPr>
        <w:keepNext/>
        <w:keepLines/>
        <w:spacing w:before="120" w:after="120"/>
        <w:outlineLvl w:val="2"/>
        <w:rPr>
          <w:rFonts w:ascii="Times New Roman" w:hAnsi="Times New Roman" w:eastAsia="黑体" w:cs="Times New Roman"/>
          <w:bCs/>
          <w:color w:val="auto"/>
          <w:sz w:val="24"/>
          <w:szCs w:val="32"/>
          <w:highlight w:val="none"/>
        </w:rPr>
      </w:pPr>
      <w:bookmarkStart w:id="116" w:name="_Toc26656963"/>
      <w:bookmarkStart w:id="117" w:name="_Toc14201232"/>
      <w:bookmarkStart w:id="118" w:name="_Toc21575"/>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bookmarkEnd w:id="116"/>
      <w:bookmarkEnd w:id="117"/>
      <w:bookmarkEnd w:id="118"/>
    </w:p>
    <w:p w14:paraId="65CD602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响应文件应按第六章“响应文件格式”进行编写，如有必要，可以增加附页，作为响应文件的组成部分。</w:t>
      </w:r>
    </w:p>
    <w:p w14:paraId="63205AB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w:t>
      </w:r>
      <w:r>
        <w:rPr>
          <w:rFonts w:hint="eastAsia" w:ascii="Times New Roman" w:hAnsi="Times New Roman" w:cs="Times New Roman"/>
          <w:color w:val="auto"/>
          <w:highlight w:val="none"/>
        </w:rPr>
        <w:t>服务</w:t>
      </w:r>
      <w:r>
        <w:rPr>
          <w:rFonts w:ascii="Times New Roman" w:hAnsi="Times New Roman" w:cs="Times New Roman"/>
          <w:color w:val="auto"/>
          <w:highlight w:val="none"/>
        </w:rPr>
        <w:t>期、响应有效期、质量要求、</w:t>
      </w:r>
      <w:r>
        <w:rPr>
          <w:rFonts w:hint="eastAsia" w:ascii="Times New Roman" w:hAnsi="Times New Roman" w:cs="Times New Roman"/>
          <w:color w:val="auto"/>
          <w:highlight w:val="none"/>
          <w:lang w:eastAsia="zh-CN"/>
        </w:rPr>
        <w:t>安全目标</w:t>
      </w:r>
      <w:r>
        <w:rPr>
          <w:rFonts w:ascii="Times New Roman" w:hAnsi="Times New Roman" w:cs="Times New Roman"/>
          <w:color w:val="auto"/>
          <w:highlight w:val="none"/>
        </w:rPr>
        <w:t>、技术标准和要求、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F85CB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66C5727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w:t>
      </w:r>
      <w:r>
        <w:rPr>
          <w:rFonts w:hint="eastAsia" w:ascii="Times New Roman" w:hAnsi="Times New Roman" w:cs="Times New Roman"/>
          <w:color w:val="auto"/>
          <w:highlight w:val="none"/>
          <w:lang w:val="en-US" w:eastAsia="zh-CN"/>
        </w:rPr>
        <w:t>加</w:t>
      </w:r>
      <w:r>
        <w:rPr>
          <w:rFonts w:ascii="Times New Roman" w:hAnsi="Times New Roman" w:cs="Times New Roman"/>
          <w:color w:val="auto"/>
          <w:highlight w:val="none"/>
        </w:rPr>
        <w:t>盖单位章。</w:t>
      </w:r>
    </w:p>
    <w:p w14:paraId="2EEDDFE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正本一份，副本</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u w:val="single"/>
        </w:rPr>
        <w:t>一</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份。正本和副本的封面右上角应清楚地标记“正本”或“副本”的字样。当副本和正本不一致时，以正本文件为准。</w:t>
      </w:r>
      <w:r>
        <w:rPr>
          <w:rFonts w:hint="eastAsia" w:ascii="Times New Roman" w:hAnsi="Times New Roman" w:eastAsia="宋体" w:cs="Times New Roman"/>
          <w:color w:val="auto"/>
          <w:szCs w:val="21"/>
          <w:highlight w:val="none"/>
          <w:lang w:val="en-US" w:eastAsia="zh-CN"/>
        </w:rPr>
        <w:t>同时提供响应文件盖章扫描件电子版（U盘）一份。</w:t>
      </w:r>
    </w:p>
    <w:p w14:paraId="20E6F13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的正本与副本应分别装订。</w:t>
      </w:r>
    </w:p>
    <w:p w14:paraId="4C16923B">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19" w:name="_Toc9067723"/>
      <w:bookmarkStart w:id="120" w:name="_Toc14201233"/>
      <w:bookmarkStart w:id="121" w:name="_Toc26656964"/>
      <w:bookmarkStart w:id="122" w:name="_Toc32003"/>
      <w:r>
        <w:rPr>
          <w:rFonts w:ascii="Times New Roman" w:hAnsi="Times New Roman" w:eastAsia="黑体" w:cs="Times New Roman"/>
          <w:bCs/>
          <w:color w:val="auto"/>
          <w:sz w:val="24"/>
          <w:szCs w:val="32"/>
          <w:highlight w:val="none"/>
        </w:rPr>
        <w:t xml:space="preserve">4. </w:t>
      </w:r>
      <w:bookmarkEnd w:id="119"/>
      <w:bookmarkEnd w:id="120"/>
      <w:bookmarkEnd w:id="121"/>
      <w:r>
        <w:rPr>
          <w:rFonts w:ascii="Times New Roman" w:hAnsi="Times New Roman" w:eastAsia="黑体" w:cs="Times New Roman"/>
          <w:bCs/>
          <w:color w:val="auto"/>
          <w:sz w:val="24"/>
          <w:szCs w:val="32"/>
          <w:highlight w:val="none"/>
        </w:rPr>
        <w:t>响应文件的递交</w:t>
      </w:r>
      <w:bookmarkEnd w:id="122"/>
    </w:p>
    <w:p w14:paraId="5A266FE6">
      <w:pPr>
        <w:keepNext/>
        <w:keepLines/>
        <w:spacing w:before="120" w:after="120"/>
        <w:outlineLvl w:val="2"/>
        <w:rPr>
          <w:rFonts w:ascii="Times New Roman" w:hAnsi="Times New Roman" w:eastAsia="黑体" w:cs="Times New Roman"/>
          <w:bCs/>
          <w:color w:val="auto"/>
          <w:sz w:val="24"/>
          <w:szCs w:val="32"/>
          <w:highlight w:val="none"/>
        </w:rPr>
      </w:pPr>
      <w:bookmarkStart w:id="123" w:name="_Toc14201234"/>
      <w:bookmarkStart w:id="124" w:name="_Toc26656965"/>
      <w:bookmarkStart w:id="125" w:name="_Toc31443"/>
      <w:r>
        <w:rPr>
          <w:rFonts w:ascii="Times New Roman" w:hAnsi="Times New Roman" w:eastAsia="黑体" w:cs="Times New Roman"/>
          <w:bCs/>
          <w:color w:val="auto"/>
          <w:sz w:val="24"/>
          <w:szCs w:val="32"/>
          <w:highlight w:val="none"/>
        </w:rPr>
        <w:t>4.1响应文件的密封和标记</w:t>
      </w:r>
      <w:bookmarkEnd w:id="123"/>
      <w:bookmarkEnd w:id="124"/>
      <w:bookmarkEnd w:id="125"/>
    </w:p>
    <w:p w14:paraId="2D3F429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在一个封套内，封套上注明：</w:t>
      </w:r>
    </w:p>
    <w:p w14:paraId="566CEA0B">
      <w:pPr>
        <w:spacing w:line="440" w:lineRule="exact"/>
        <w:ind w:firstLine="420"/>
        <w:rPr>
          <w:rFonts w:ascii="Times New Roman" w:hAnsi="Times New Roman" w:eastAsia="黑体" w:cs="黑体"/>
          <w:bCs/>
          <w:snapToGrid w:val="0"/>
          <w:color w:val="auto"/>
          <w:kern w:val="0"/>
          <w:szCs w:val="21"/>
          <w:highlight w:val="none"/>
        </w:rPr>
      </w:pPr>
      <w:r>
        <w:rPr>
          <w:rFonts w:hint="eastAsia" w:ascii="Times New Roman" w:hAnsi="Times New Roman" w:eastAsia="黑体" w:cs="黑体"/>
          <w:bCs/>
          <w:snapToGrid w:val="0"/>
          <w:color w:val="auto"/>
          <w:kern w:val="0"/>
          <w:szCs w:val="21"/>
          <w:highlight w:val="none"/>
        </w:rPr>
        <w:t>供应商名称：</w:t>
      </w:r>
      <w:r>
        <w:rPr>
          <w:rFonts w:hint="eastAsia" w:ascii="Times New Roman" w:hAnsi="Times New Roman" w:eastAsia="黑体" w:cs="黑体"/>
          <w:bCs/>
          <w:snapToGrid w:val="0"/>
          <w:color w:val="auto"/>
          <w:kern w:val="0"/>
          <w:szCs w:val="21"/>
          <w:highlight w:val="none"/>
          <w:u w:val="single"/>
        </w:rPr>
        <w:t xml:space="preserve">            </w:t>
      </w:r>
    </w:p>
    <w:p w14:paraId="2E761A69">
      <w:pPr>
        <w:spacing w:line="440" w:lineRule="exact"/>
        <w:ind w:firstLine="420"/>
        <w:rPr>
          <w:rFonts w:ascii="Times New Roman" w:hAnsi="Times New Roman" w:eastAsia="黑体" w:cs="黑体"/>
          <w:bCs/>
          <w:snapToGrid w:val="0"/>
          <w:color w:val="auto"/>
          <w:kern w:val="0"/>
          <w:szCs w:val="21"/>
          <w:highlight w:val="none"/>
        </w:rPr>
      </w:pP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u w:val="single"/>
          <w:lang w:eastAsia="zh-CN"/>
        </w:rPr>
        <w:t>深圳安联尚璟府项目软装家具套装采购（2025~2026年度）</w:t>
      </w:r>
      <w:r>
        <w:rPr>
          <w:rFonts w:hint="eastAsia" w:ascii="Times New Roman" w:hAnsi="Times New Roman" w:eastAsia="黑体" w:cs="黑体"/>
          <w:bCs/>
          <w:snapToGrid w:val="0"/>
          <w:color w:val="auto"/>
          <w:kern w:val="0"/>
          <w:szCs w:val="21"/>
          <w:highlight w:val="none"/>
        </w:rPr>
        <w:t>合同包响应文件</w:t>
      </w:r>
    </w:p>
    <w:p w14:paraId="258B17DB">
      <w:pPr>
        <w:spacing w:line="440" w:lineRule="exact"/>
        <w:ind w:firstLine="420"/>
        <w:rPr>
          <w:rFonts w:ascii="Times New Roman" w:hAnsi="Times New Roman" w:eastAsia="黑体" w:cs="黑体"/>
          <w:color w:val="auto"/>
          <w:highlight w:val="none"/>
        </w:rPr>
      </w:pPr>
      <w:r>
        <w:rPr>
          <w:rFonts w:hint="eastAsia" w:ascii="Times New Roman" w:hAnsi="Times New Roman" w:eastAsia="黑体" w:cs="黑体"/>
          <w:bCs/>
          <w:snapToGrid w:val="0"/>
          <w:color w:val="auto"/>
          <w:kern w:val="0"/>
          <w:szCs w:val="21"/>
          <w:highlight w:val="none"/>
        </w:rPr>
        <w:t>在</w:t>
      </w:r>
      <w:r>
        <w:rPr>
          <w:rFonts w:hint="eastAsia" w:ascii="Times New Roman" w:hAnsi="Times New Roman" w:eastAsia="黑体" w:cs="黑体"/>
          <w:bCs/>
          <w:snapToGrid w:val="0"/>
          <w:color w:val="auto"/>
          <w:kern w:val="0"/>
          <w:szCs w:val="21"/>
          <w:highlight w:val="none"/>
          <w:u w:val="single"/>
          <w:lang w:val="en-US" w:eastAsia="zh-CN"/>
        </w:rPr>
        <w:t>2025</w:t>
      </w:r>
      <w:r>
        <w:rPr>
          <w:rFonts w:hint="eastAsia" w:ascii="Times New Roman" w:hAnsi="Times New Roman" w:eastAsia="黑体" w:cs="黑体"/>
          <w:bCs/>
          <w:snapToGrid w:val="0"/>
          <w:color w:val="auto"/>
          <w:kern w:val="0"/>
          <w:szCs w:val="21"/>
          <w:highlight w:val="none"/>
        </w:rPr>
        <w:t>年</w:t>
      </w:r>
      <w:r>
        <w:rPr>
          <w:rFonts w:hint="eastAsia" w:ascii="Times New Roman" w:hAnsi="Times New Roman" w:eastAsia="黑体" w:cs="黑体"/>
          <w:bCs/>
          <w:snapToGrid w:val="0"/>
          <w:color w:val="auto"/>
          <w:kern w:val="0"/>
          <w:szCs w:val="21"/>
          <w:highlight w:val="none"/>
          <w:u w:val="single"/>
          <w:lang w:val="en-US" w:eastAsia="zh-CN"/>
        </w:rPr>
        <w:t>12</w:t>
      </w:r>
      <w:r>
        <w:rPr>
          <w:rFonts w:hint="eastAsia" w:ascii="Times New Roman" w:hAnsi="Times New Roman" w:eastAsia="黑体" w:cs="黑体"/>
          <w:bCs/>
          <w:snapToGrid w:val="0"/>
          <w:color w:val="auto"/>
          <w:kern w:val="0"/>
          <w:szCs w:val="21"/>
          <w:highlight w:val="none"/>
        </w:rPr>
        <w:t>月</w:t>
      </w:r>
      <w:r>
        <w:rPr>
          <w:rFonts w:hint="eastAsia" w:ascii="Times New Roman" w:hAnsi="Times New Roman" w:eastAsia="黑体" w:cs="黑体"/>
          <w:bCs/>
          <w:snapToGrid w:val="0"/>
          <w:color w:val="auto"/>
          <w:kern w:val="0"/>
          <w:szCs w:val="21"/>
          <w:highlight w:val="none"/>
          <w:u w:val="single"/>
          <w:lang w:val="en-US" w:eastAsia="zh-CN"/>
        </w:rPr>
        <w:t xml:space="preserve"> 3 </w:t>
      </w:r>
      <w:r>
        <w:rPr>
          <w:rFonts w:hint="eastAsia" w:ascii="Times New Roman" w:hAnsi="Times New Roman" w:eastAsia="黑体" w:cs="黑体"/>
          <w:bCs/>
          <w:snapToGrid w:val="0"/>
          <w:color w:val="auto"/>
          <w:kern w:val="0"/>
          <w:szCs w:val="21"/>
          <w:highlight w:val="none"/>
        </w:rPr>
        <w:t>日</w:t>
      </w:r>
      <w:r>
        <w:rPr>
          <w:rFonts w:hint="eastAsia" w:ascii="Times New Roman" w:hAnsi="Times New Roman" w:eastAsia="黑体" w:cs="黑体"/>
          <w:bCs/>
          <w:snapToGrid w:val="0"/>
          <w:color w:val="auto"/>
          <w:kern w:val="0"/>
          <w:szCs w:val="21"/>
          <w:highlight w:val="none"/>
          <w:lang w:val="en-US" w:eastAsia="zh-CN"/>
        </w:rPr>
        <w:t>上午</w:t>
      </w:r>
      <w:r>
        <w:rPr>
          <w:rFonts w:hint="eastAsia" w:ascii="Times New Roman" w:hAnsi="Times New Roman" w:eastAsia="黑体" w:cs="黑体"/>
          <w:bCs/>
          <w:snapToGrid w:val="0"/>
          <w:color w:val="auto"/>
          <w:kern w:val="0"/>
          <w:szCs w:val="21"/>
          <w:highlight w:val="none"/>
          <w:u w:val="single"/>
          <w:lang w:val="en-US" w:eastAsia="zh-CN"/>
        </w:rPr>
        <w:t>10</w:t>
      </w:r>
      <w:r>
        <w:rPr>
          <w:rFonts w:hint="eastAsia" w:ascii="Times New Roman" w:hAnsi="Times New Roman" w:eastAsia="黑体" w:cs="黑体"/>
          <w:bCs/>
          <w:snapToGrid w:val="0"/>
          <w:color w:val="auto"/>
          <w:kern w:val="0"/>
          <w:szCs w:val="21"/>
          <w:highlight w:val="none"/>
        </w:rPr>
        <w:t>时</w:t>
      </w:r>
      <w:r>
        <w:rPr>
          <w:rFonts w:hint="eastAsia" w:ascii="Times New Roman" w:hAnsi="Times New Roman" w:eastAsia="黑体" w:cs="黑体"/>
          <w:bCs/>
          <w:snapToGrid w:val="0"/>
          <w:color w:val="auto"/>
          <w:kern w:val="0"/>
          <w:szCs w:val="21"/>
          <w:highlight w:val="none"/>
          <w:u w:val="single"/>
          <w:lang w:val="en-US" w:eastAsia="zh-CN"/>
        </w:rPr>
        <w:t xml:space="preserve"> 00</w:t>
      </w:r>
      <w:r>
        <w:rPr>
          <w:rFonts w:hint="eastAsia" w:ascii="Times New Roman" w:hAnsi="Times New Roman" w:eastAsia="黑体" w:cs="黑体"/>
          <w:bCs/>
          <w:snapToGrid w:val="0"/>
          <w:color w:val="auto"/>
          <w:kern w:val="0"/>
          <w:szCs w:val="21"/>
          <w:highlight w:val="none"/>
        </w:rPr>
        <w:t>分（递交响应文件的截止时间）前不得开启</w:t>
      </w:r>
    </w:p>
    <w:p w14:paraId="1394BD1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6424CB3D">
      <w:pPr>
        <w:keepNext/>
        <w:keepLines/>
        <w:spacing w:before="120" w:after="120"/>
        <w:outlineLvl w:val="2"/>
        <w:rPr>
          <w:rFonts w:ascii="Times New Roman" w:hAnsi="Times New Roman" w:eastAsia="黑体" w:cs="Times New Roman"/>
          <w:bCs/>
          <w:color w:val="auto"/>
          <w:sz w:val="24"/>
          <w:szCs w:val="32"/>
          <w:highlight w:val="none"/>
        </w:rPr>
      </w:pPr>
      <w:bookmarkStart w:id="126" w:name="_Toc26656966"/>
      <w:bookmarkStart w:id="127" w:name="_Toc14201235"/>
      <w:bookmarkStart w:id="128" w:name="_Toc523"/>
      <w:r>
        <w:rPr>
          <w:rFonts w:ascii="Times New Roman" w:hAnsi="Times New Roman" w:eastAsia="黑体" w:cs="Times New Roman"/>
          <w:bCs/>
          <w:color w:val="auto"/>
          <w:sz w:val="24"/>
          <w:szCs w:val="32"/>
          <w:highlight w:val="none"/>
        </w:rPr>
        <w:t>4.2 响应文件的递交</w:t>
      </w:r>
      <w:bookmarkEnd w:id="126"/>
      <w:bookmarkEnd w:id="127"/>
      <w:bookmarkEnd w:id="128"/>
    </w:p>
    <w:p w14:paraId="32BF2E4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第5条的规定递交响应文件</w:t>
      </w:r>
      <w:r>
        <w:rPr>
          <w:rFonts w:ascii="Times New Roman" w:hAnsi="Times New Roman" w:cs="Times New Roman"/>
          <w:color w:val="auto"/>
          <w:highlight w:val="none"/>
        </w:rPr>
        <w:t>。</w:t>
      </w:r>
    </w:p>
    <w:p w14:paraId="07A99F2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54A6C03B">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5533249F">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29" w:name="_Toc9067724"/>
      <w:bookmarkStart w:id="130" w:name="_Toc26656968"/>
      <w:bookmarkStart w:id="131" w:name="_Toc14201237"/>
      <w:bookmarkStart w:id="132" w:name="_Toc28761"/>
      <w:r>
        <w:rPr>
          <w:rFonts w:ascii="Times New Roman" w:hAnsi="Times New Roman" w:eastAsia="黑体" w:cs="Times New Roman"/>
          <w:bCs/>
          <w:color w:val="auto"/>
          <w:sz w:val="24"/>
          <w:szCs w:val="32"/>
          <w:highlight w:val="none"/>
        </w:rPr>
        <w:t xml:space="preserve">5. </w:t>
      </w:r>
      <w:bookmarkEnd w:id="129"/>
      <w:bookmarkEnd w:id="130"/>
      <w:bookmarkEnd w:id="131"/>
      <w:r>
        <w:rPr>
          <w:rFonts w:ascii="Times New Roman" w:hAnsi="Times New Roman" w:eastAsia="黑体" w:cs="Times New Roman"/>
          <w:bCs/>
          <w:color w:val="auto"/>
          <w:sz w:val="24"/>
          <w:szCs w:val="32"/>
          <w:highlight w:val="none"/>
        </w:rPr>
        <w:t>启封</w:t>
      </w:r>
      <w:bookmarkEnd w:id="132"/>
    </w:p>
    <w:p w14:paraId="2E49E756">
      <w:pPr>
        <w:keepNext/>
        <w:keepLines/>
        <w:spacing w:before="120" w:after="120"/>
        <w:outlineLvl w:val="2"/>
        <w:rPr>
          <w:rFonts w:ascii="Times New Roman" w:hAnsi="Times New Roman" w:eastAsia="黑体" w:cs="Times New Roman"/>
          <w:bCs/>
          <w:color w:val="auto"/>
          <w:sz w:val="24"/>
          <w:szCs w:val="32"/>
          <w:highlight w:val="none"/>
        </w:rPr>
      </w:pPr>
      <w:bookmarkStart w:id="133" w:name="_Toc14201238"/>
      <w:bookmarkStart w:id="134" w:name="_Toc26656969"/>
      <w:bookmarkStart w:id="135" w:name="_Toc18366"/>
      <w:r>
        <w:rPr>
          <w:rFonts w:ascii="Times New Roman" w:hAnsi="Times New Roman" w:eastAsia="黑体" w:cs="Times New Roman"/>
          <w:bCs/>
          <w:color w:val="auto"/>
          <w:sz w:val="24"/>
          <w:szCs w:val="32"/>
          <w:highlight w:val="none"/>
        </w:rPr>
        <w:t>5.1 启封时间和地点</w:t>
      </w:r>
      <w:bookmarkEnd w:id="133"/>
      <w:bookmarkEnd w:id="134"/>
      <w:bookmarkEnd w:id="135"/>
    </w:p>
    <w:p w14:paraId="34DC83D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第6条的规定进行启封</w:t>
      </w:r>
      <w:r>
        <w:rPr>
          <w:rFonts w:ascii="Times New Roman" w:hAnsi="Times New Roman" w:cs="Times New Roman"/>
          <w:color w:val="auto"/>
          <w:highlight w:val="none"/>
        </w:rPr>
        <w:t>。</w:t>
      </w:r>
    </w:p>
    <w:p w14:paraId="2279636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D71C4B8">
      <w:pPr>
        <w:keepNext/>
        <w:keepLines/>
        <w:spacing w:before="120" w:after="120"/>
        <w:outlineLvl w:val="2"/>
        <w:rPr>
          <w:rFonts w:ascii="Times New Roman" w:hAnsi="Times New Roman" w:eastAsia="黑体" w:cs="Times New Roman"/>
          <w:bCs/>
          <w:color w:val="auto"/>
          <w:sz w:val="24"/>
          <w:szCs w:val="32"/>
          <w:highlight w:val="none"/>
        </w:rPr>
      </w:pPr>
      <w:bookmarkStart w:id="136" w:name="_Toc26656970"/>
      <w:bookmarkStart w:id="137" w:name="_Toc14201239"/>
      <w:bookmarkStart w:id="138" w:name="_Toc4114"/>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bookmarkEnd w:id="136"/>
      <w:bookmarkEnd w:id="137"/>
      <w:bookmarkEnd w:id="138"/>
    </w:p>
    <w:p w14:paraId="7556693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1E7B1D4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208DEF0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3A64543">
      <w:pPr>
        <w:spacing w:line="440" w:lineRule="exact"/>
        <w:ind w:firstLine="420"/>
        <w:rPr>
          <w:rFonts w:ascii="Times New Roman" w:hAnsi="Times New Roman" w:cs="Times New Roman"/>
          <w:bCs/>
          <w:color w:val="auto"/>
          <w:highlight w:val="none"/>
        </w:rPr>
      </w:pPr>
      <w:r>
        <w:rPr>
          <w:rFonts w:ascii="Times New Roman" w:hAnsi="Times New Roman" w:cs="Times New Roman"/>
          <w:color w:val="auto"/>
          <w:highlight w:val="none"/>
        </w:rPr>
        <w:t>（3）</w:t>
      </w:r>
      <w:r>
        <w:rPr>
          <w:rFonts w:ascii="Times New Roman" w:hAnsi="Times New Roman" w:cs="Times New Roman"/>
          <w:bCs/>
          <w:color w:val="auto"/>
          <w:highlight w:val="none"/>
        </w:rPr>
        <w:t>对响应文件进行启封，公布供应商名称、合同包名称、报价、质量目标、安全目标、</w:t>
      </w:r>
      <w:r>
        <w:rPr>
          <w:rFonts w:hint="eastAsia" w:ascii="Times New Roman" w:hAnsi="Times New Roman" w:cs="Times New Roman"/>
          <w:bCs/>
          <w:color w:val="auto"/>
          <w:highlight w:val="none"/>
        </w:rPr>
        <w:t>服务</w:t>
      </w:r>
      <w:r>
        <w:rPr>
          <w:rFonts w:ascii="Times New Roman" w:hAnsi="Times New Roman" w:cs="Times New Roman"/>
          <w:bCs/>
          <w:color w:val="auto"/>
          <w:highlight w:val="none"/>
        </w:rPr>
        <w:t>期、响应保证金递交情况及其他内容；</w:t>
      </w:r>
    </w:p>
    <w:p w14:paraId="2A21BE89">
      <w:pPr>
        <w:spacing w:line="440" w:lineRule="exact"/>
        <w:ind w:firstLine="420"/>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olor w:val="auto"/>
          <w:highlight w:val="none"/>
        </w:rPr>
        <w:t>供应商</w:t>
      </w:r>
      <w:r>
        <w:rPr>
          <w:rFonts w:ascii="Times New Roman" w:hAnsi="Times New Roman"/>
          <w:color w:val="auto"/>
          <w:highlight w:val="none"/>
        </w:rPr>
        <w:t>代表、</w:t>
      </w:r>
      <w:r>
        <w:rPr>
          <w:rFonts w:hint="eastAsia" w:ascii="Times New Roman" w:hAnsi="Times New Roman"/>
          <w:color w:val="auto"/>
          <w:highlight w:val="none"/>
        </w:rPr>
        <w:t>采购</w:t>
      </w:r>
      <w:r>
        <w:rPr>
          <w:rFonts w:ascii="Times New Roman" w:hAnsi="Times New Roman"/>
          <w:color w:val="auto"/>
          <w:highlight w:val="none"/>
        </w:rPr>
        <w:t>人代表、记录人等有关人员在</w:t>
      </w:r>
      <w:r>
        <w:rPr>
          <w:rFonts w:hint="eastAsia" w:ascii="Times New Roman" w:hAnsi="Times New Roman"/>
          <w:color w:val="auto"/>
          <w:highlight w:val="none"/>
        </w:rPr>
        <w:t>启封</w:t>
      </w:r>
      <w:r>
        <w:rPr>
          <w:rFonts w:ascii="Times New Roman" w:hAnsi="Times New Roman"/>
          <w:color w:val="auto"/>
          <w:highlight w:val="none"/>
        </w:rPr>
        <w:t>记录上</w:t>
      </w:r>
      <w:r>
        <w:rPr>
          <w:rFonts w:hint="eastAsia" w:ascii="Times New Roman" w:hAnsi="Times New Roman"/>
          <w:color w:val="auto"/>
          <w:highlight w:val="none"/>
        </w:rPr>
        <w:t>签名</w:t>
      </w:r>
      <w:r>
        <w:rPr>
          <w:rFonts w:ascii="Times New Roman" w:hAnsi="Times New Roman"/>
          <w:color w:val="auto"/>
          <w:highlight w:val="none"/>
        </w:rPr>
        <w:t>确认；</w:t>
      </w:r>
    </w:p>
    <w:p w14:paraId="22D8189A">
      <w:pPr>
        <w:spacing w:line="440" w:lineRule="exact"/>
        <w:ind w:firstLine="420"/>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7EB7342">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5.2.</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284C9D48">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39" w:name="_Toc14201241"/>
      <w:bookmarkStart w:id="140" w:name="_Toc26656972"/>
      <w:bookmarkStart w:id="141" w:name="_Toc9067725"/>
      <w:bookmarkStart w:id="142" w:name="_Toc27451"/>
      <w:r>
        <w:rPr>
          <w:rFonts w:ascii="Times New Roman" w:hAnsi="Times New Roman" w:eastAsia="黑体" w:cs="Times New Roman"/>
          <w:bCs/>
          <w:color w:val="auto"/>
          <w:sz w:val="24"/>
          <w:szCs w:val="32"/>
          <w:highlight w:val="none"/>
        </w:rPr>
        <w:t>6. 评</w:t>
      </w:r>
      <w:bookmarkEnd w:id="139"/>
      <w:bookmarkEnd w:id="140"/>
      <w:bookmarkEnd w:id="141"/>
      <w:r>
        <w:rPr>
          <w:rFonts w:ascii="Times New Roman" w:hAnsi="Times New Roman" w:eastAsia="黑体" w:cs="Times New Roman"/>
          <w:bCs/>
          <w:color w:val="auto"/>
          <w:sz w:val="24"/>
          <w:szCs w:val="32"/>
          <w:highlight w:val="none"/>
        </w:rPr>
        <w:t>审</w:t>
      </w:r>
      <w:bookmarkEnd w:id="142"/>
    </w:p>
    <w:p w14:paraId="5904F439">
      <w:pPr>
        <w:keepNext/>
        <w:keepLines/>
        <w:spacing w:before="120" w:after="120"/>
        <w:outlineLvl w:val="2"/>
        <w:rPr>
          <w:rFonts w:ascii="Times New Roman" w:hAnsi="Times New Roman" w:eastAsia="黑体" w:cs="Times New Roman"/>
          <w:bCs/>
          <w:color w:val="auto"/>
          <w:sz w:val="24"/>
          <w:szCs w:val="32"/>
          <w:highlight w:val="none"/>
        </w:rPr>
      </w:pPr>
      <w:bookmarkStart w:id="143" w:name="_Toc26656973"/>
      <w:bookmarkStart w:id="144" w:name="_Toc14201242"/>
      <w:bookmarkStart w:id="145" w:name="_Toc7748"/>
      <w:r>
        <w:rPr>
          <w:rFonts w:ascii="Times New Roman" w:hAnsi="Times New Roman" w:eastAsia="黑体" w:cs="Times New Roman"/>
          <w:bCs/>
          <w:color w:val="auto"/>
          <w:sz w:val="24"/>
          <w:szCs w:val="32"/>
          <w:highlight w:val="none"/>
        </w:rPr>
        <w:t>6.1</w:t>
      </w:r>
      <w:bookmarkEnd w:id="143"/>
      <w:bookmarkEnd w:id="144"/>
      <w:r>
        <w:rPr>
          <w:rFonts w:hint="eastAsia" w:ascii="Times New Roman" w:hAnsi="Times New Roman" w:eastAsia="黑体" w:cs="Times New Roman"/>
          <w:bCs/>
          <w:color w:val="auto"/>
          <w:sz w:val="24"/>
          <w:szCs w:val="32"/>
          <w:highlight w:val="none"/>
        </w:rPr>
        <w:t>评审小组</w:t>
      </w:r>
      <w:bookmarkEnd w:id="145"/>
    </w:p>
    <w:p w14:paraId="28128FF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评审小组人数：3~7人（单数）</w:t>
      </w:r>
      <w:r>
        <w:rPr>
          <w:rFonts w:ascii="Times New Roman" w:hAnsi="Times New Roman" w:cs="Times New Roman"/>
          <w:color w:val="auto"/>
          <w:highlight w:val="none"/>
        </w:rPr>
        <w:t>。</w:t>
      </w:r>
    </w:p>
    <w:p w14:paraId="5CC711D6">
      <w:pPr>
        <w:keepNext/>
        <w:keepLines/>
        <w:spacing w:before="120" w:after="120"/>
        <w:outlineLvl w:val="2"/>
        <w:rPr>
          <w:rFonts w:ascii="Times New Roman" w:hAnsi="Times New Roman" w:eastAsia="黑体" w:cs="Times New Roman"/>
          <w:bCs/>
          <w:color w:val="auto"/>
          <w:sz w:val="24"/>
          <w:szCs w:val="32"/>
          <w:highlight w:val="none"/>
        </w:rPr>
      </w:pPr>
      <w:bookmarkStart w:id="146" w:name="_Toc26656975"/>
      <w:bookmarkStart w:id="147" w:name="_Toc14201244"/>
      <w:bookmarkStart w:id="148" w:name="_Toc21704"/>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w:t>
      </w:r>
      <w:bookmarkEnd w:id="146"/>
      <w:bookmarkEnd w:id="147"/>
      <w:r>
        <w:rPr>
          <w:rFonts w:ascii="Times New Roman" w:hAnsi="Times New Roman" w:eastAsia="黑体" w:cs="Times New Roman"/>
          <w:bCs/>
          <w:color w:val="auto"/>
          <w:sz w:val="24"/>
          <w:szCs w:val="32"/>
          <w:highlight w:val="none"/>
        </w:rPr>
        <w:t>审</w:t>
      </w:r>
      <w:bookmarkEnd w:id="148"/>
    </w:p>
    <w:p w14:paraId="42215F1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4A93D96">
      <w:pPr>
        <w:spacing w:line="440" w:lineRule="exact"/>
        <w:ind w:firstLine="420"/>
        <w:rPr>
          <w:rFonts w:hint="eastAsia"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rPr>
        <w:t>2若递交响应文件的供应商数量达到3家及以上，但仅有2家供应商通过初步评审，经评审小组评判此2家供应商仍具有竞争性，即可以继续进行评审。</w:t>
      </w:r>
    </w:p>
    <w:p w14:paraId="33378F19">
      <w:pPr>
        <w:spacing w:after="0"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6.2.3 </w:t>
      </w:r>
      <w:r>
        <w:rPr>
          <w:rFonts w:hint="default" w:ascii="Times New Roman" w:hAnsi="Times New Roman" w:cs="Times New Roman"/>
          <w:color w:val="auto"/>
          <w:highlight w:val="none"/>
        </w:rPr>
        <w:t xml:space="preserve">若采购人发现响应文件出现以下任一情况，其报价将不再参加评审基准价的计算： </w:t>
      </w:r>
    </w:p>
    <w:p w14:paraId="3848E4AA">
      <w:pPr>
        <w:spacing w:after="0"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（1）报价超出采购人公布的最高限价；</w:t>
      </w:r>
    </w:p>
    <w:p w14:paraId="364085F8">
      <w:pPr>
        <w:spacing w:after="0"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）未在报价函上填写总报价； </w:t>
      </w:r>
    </w:p>
    <w:p w14:paraId="1460D46D">
      <w:pPr>
        <w:spacing w:after="0" w:line="440" w:lineRule="exact"/>
        <w:ind w:firstLine="42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）报价函中的报价与已标价的报价清单总报价不一致（四舍五入除外）</w:t>
      </w:r>
      <w:r>
        <w:rPr>
          <w:rFonts w:hint="eastAsia" w:ascii="Times New Roman" w:hAnsi="Times New Roman" w:cs="Times New Roman"/>
          <w:color w:val="auto"/>
          <w:highlight w:val="none"/>
          <w:lang w:eastAsia="zh-CN"/>
        </w:rPr>
        <w:t>；</w:t>
      </w:r>
    </w:p>
    <w:p w14:paraId="174E206E">
      <w:pPr>
        <w:spacing w:after="0" w:line="440" w:lineRule="exact"/>
        <w:ind w:firstLine="420"/>
        <w:rPr>
          <w:color w:val="auto"/>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u w:val="none"/>
          <w:lang w:val="en-US" w:eastAsia="zh-CN"/>
        </w:rPr>
        <w:t>）见供应商须知前附表（</w:t>
      </w:r>
      <w:r>
        <w:rPr>
          <w:rFonts w:hint="eastAsia" w:ascii="Times New Roman" w:hAnsi="Times New Roman" w:cs="Times New Roman"/>
          <w:color w:val="auto"/>
          <w:highlight w:val="none"/>
          <w:lang w:val="en-US" w:eastAsia="zh-CN"/>
        </w:rPr>
        <w:t>其他情形）。</w:t>
      </w:r>
    </w:p>
    <w:p w14:paraId="27B4031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47CBB5B7">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49" w:name="_Toc14201245"/>
      <w:bookmarkStart w:id="150" w:name="_Toc26656976"/>
      <w:bookmarkStart w:id="151" w:name="_Toc9067726"/>
      <w:bookmarkStart w:id="152" w:name="_Toc10959"/>
      <w:r>
        <w:rPr>
          <w:rFonts w:ascii="Times New Roman" w:hAnsi="Times New Roman" w:eastAsia="黑体" w:cs="Times New Roman"/>
          <w:bCs/>
          <w:color w:val="auto"/>
          <w:sz w:val="24"/>
          <w:szCs w:val="32"/>
          <w:highlight w:val="none"/>
        </w:rPr>
        <w:t>7. 合同授予</w:t>
      </w:r>
      <w:bookmarkEnd w:id="149"/>
      <w:bookmarkEnd w:id="150"/>
      <w:bookmarkEnd w:id="151"/>
      <w:bookmarkEnd w:id="152"/>
    </w:p>
    <w:p w14:paraId="74282290">
      <w:pPr>
        <w:keepNext/>
        <w:keepLines/>
        <w:spacing w:before="120" w:after="120"/>
        <w:outlineLvl w:val="2"/>
        <w:rPr>
          <w:rFonts w:ascii="Times New Roman" w:hAnsi="Times New Roman" w:eastAsia="黑体" w:cs="Times New Roman"/>
          <w:bCs/>
          <w:color w:val="auto"/>
          <w:sz w:val="24"/>
          <w:szCs w:val="32"/>
          <w:highlight w:val="none"/>
        </w:rPr>
      </w:pPr>
      <w:bookmarkStart w:id="153" w:name="_Toc26656977"/>
      <w:bookmarkStart w:id="154" w:name="_Toc14201246"/>
      <w:bookmarkStart w:id="155" w:name="_Toc17075"/>
      <w:r>
        <w:rPr>
          <w:rFonts w:ascii="Times New Roman" w:hAnsi="Times New Roman" w:eastAsia="黑体" w:cs="Times New Roman"/>
          <w:bCs/>
          <w:color w:val="auto"/>
          <w:sz w:val="24"/>
          <w:szCs w:val="32"/>
          <w:highlight w:val="none"/>
        </w:rPr>
        <w:t>7.1成交候选人公示</w:t>
      </w:r>
      <w:bookmarkEnd w:id="153"/>
      <w:bookmarkEnd w:id="154"/>
      <w:bookmarkEnd w:id="155"/>
    </w:p>
    <w:p w14:paraId="607C857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w:t>
      </w:r>
      <w:r>
        <w:rPr>
          <w:rFonts w:hint="eastAsia" w:ascii="Times New Roman" w:hAnsi="Times New Roman" w:cs="Times New Roman"/>
          <w:color w:val="auto"/>
          <w:highlight w:val="none"/>
        </w:rPr>
        <w:t>成交候选人将于</w:t>
      </w:r>
      <w:r>
        <w:rPr>
          <w:rFonts w:hint="eastAsia"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安徽安联高速公路有限公司</w:t>
      </w:r>
      <w:r>
        <w:rPr>
          <w:rFonts w:hint="eastAsia" w:ascii="Times New Roman" w:hAnsi="Times New Roman" w:cs="Times New Roman"/>
          <w:color w:val="auto"/>
          <w:highlight w:val="none"/>
          <w:u w:val="single"/>
        </w:rPr>
        <w:t>（网址</w:t>
      </w:r>
      <w:r>
        <w:rPr>
          <w:rFonts w:hint="eastAsia" w:ascii="Times New Roman" w:hAnsi="Times New Roman" w:cs="Times New Roman"/>
          <w:color w:val="auto"/>
          <w:highlight w:val="none"/>
          <w:u w:val="single"/>
          <w:lang w:eastAsia="zh-CN"/>
        </w:rPr>
        <w:t>：http://www.ahanlian.com/</w:t>
      </w:r>
      <w:r>
        <w:rPr>
          <w:rFonts w:hint="eastAsia" w:ascii="Times New Roman" w:hAnsi="Times New Roman" w:cs="Times New Roman"/>
          <w:color w:val="auto"/>
          <w:highlight w:val="none"/>
          <w:u w:val="single"/>
        </w:rPr>
        <w:t xml:space="preserve">）  </w:t>
      </w:r>
      <w:r>
        <w:rPr>
          <w:rFonts w:hint="eastAsia" w:ascii="Times New Roman" w:hAnsi="Times New Roman" w:cs="Times New Roman"/>
          <w:color w:val="auto"/>
          <w:highlight w:val="none"/>
        </w:rPr>
        <w:t>公示，</w:t>
      </w:r>
      <w:r>
        <w:rPr>
          <w:rFonts w:ascii="Times New Roman" w:hAnsi="Times New Roman" w:cs="Times New Roman"/>
          <w:color w:val="auto"/>
          <w:highlight w:val="none"/>
        </w:rPr>
        <w:t>公示期不得少于2日。</w:t>
      </w:r>
    </w:p>
    <w:p w14:paraId="091D9BAB">
      <w:pPr>
        <w:keepNext/>
        <w:keepLines/>
        <w:spacing w:before="120" w:after="120"/>
        <w:outlineLvl w:val="2"/>
        <w:rPr>
          <w:rFonts w:ascii="Times New Roman" w:hAnsi="Times New Roman" w:eastAsia="黑体" w:cs="Times New Roman"/>
          <w:bCs/>
          <w:color w:val="auto"/>
          <w:sz w:val="24"/>
          <w:szCs w:val="32"/>
          <w:highlight w:val="none"/>
        </w:rPr>
      </w:pPr>
      <w:bookmarkStart w:id="156" w:name="_Toc14201247"/>
      <w:bookmarkStart w:id="157" w:name="_Toc26656978"/>
      <w:bookmarkStart w:id="158" w:name="_Toc22792"/>
      <w:r>
        <w:rPr>
          <w:rFonts w:ascii="Times New Roman" w:hAnsi="Times New Roman" w:eastAsia="黑体" w:cs="Times New Roman"/>
          <w:bCs/>
          <w:color w:val="auto"/>
          <w:sz w:val="24"/>
          <w:szCs w:val="32"/>
          <w:highlight w:val="none"/>
        </w:rPr>
        <w:t>7.2评审结果异议</w:t>
      </w:r>
      <w:bookmarkEnd w:id="156"/>
      <w:bookmarkEnd w:id="157"/>
      <w:bookmarkEnd w:id="158"/>
    </w:p>
    <w:p w14:paraId="16A5BC5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EE214DB">
      <w:pPr>
        <w:keepNext/>
        <w:keepLines/>
        <w:spacing w:before="120" w:after="120"/>
        <w:outlineLvl w:val="2"/>
        <w:rPr>
          <w:rFonts w:ascii="Times New Roman" w:hAnsi="Times New Roman" w:eastAsia="黑体" w:cs="Times New Roman"/>
          <w:bCs/>
          <w:color w:val="auto"/>
          <w:sz w:val="24"/>
          <w:szCs w:val="32"/>
          <w:highlight w:val="none"/>
        </w:rPr>
      </w:pPr>
      <w:bookmarkStart w:id="159" w:name="_Toc26656979"/>
      <w:bookmarkStart w:id="160" w:name="_Toc14201248"/>
      <w:bookmarkStart w:id="161" w:name="_Toc14390"/>
      <w:r>
        <w:rPr>
          <w:rFonts w:ascii="Times New Roman" w:hAnsi="Times New Roman" w:eastAsia="黑体" w:cs="Times New Roman"/>
          <w:bCs/>
          <w:color w:val="auto"/>
          <w:sz w:val="24"/>
          <w:szCs w:val="32"/>
          <w:highlight w:val="none"/>
        </w:rPr>
        <w:t>7.3成交候选人履约能力审查</w:t>
      </w:r>
      <w:bookmarkEnd w:id="159"/>
      <w:bookmarkEnd w:id="160"/>
      <w:bookmarkEnd w:id="161"/>
    </w:p>
    <w:p w14:paraId="109600C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DA7981C">
      <w:pPr>
        <w:keepNext/>
        <w:keepLines/>
        <w:spacing w:before="120" w:after="120"/>
        <w:outlineLvl w:val="2"/>
        <w:rPr>
          <w:rFonts w:ascii="Times New Roman" w:hAnsi="Times New Roman" w:eastAsia="黑体" w:cs="Times New Roman"/>
          <w:bCs/>
          <w:color w:val="auto"/>
          <w:sz w:val="24"/>
          <w:szCs w:val="32"/>
          <w:highlight w:val="none"/>
        </w:rPr>
      </w:pPr>
      <w:bookmarkStart w:id="162" w:name="_Toc14201250"/>
      <w:bookmarkStart w:id="163" w:name="_Toc26656981"/>
      <w:bookmarkStart w:id="164" w:name="_Toc16282"/>
      <w:r>
        <w:rPr>
          <w:rFonts w:ascii="Times New Roman" w:hAnsi="Times New Roman" w:eastAsia="黑体" w:cs="Times New Roman"/>
          <w:bCs/>
          <w:color w:val="auto"/>
          <w:sz w:val="24"/>
          <w:szCs w:val="32"/>
          <w:highlight w:val="none"/>
        </w:rPr>
        <w:t>7.</w:t>
      </w:r>
      <w:bookmarkEnd w:id="162"/>
      <w:bookmarkEnd w:id="163"/>
      <w:bookmarkStart w:id="165" w:name="_Toc26656983"/>
      <w:bookmarkStart w:id="166" w:name="_Toc14201252"/>
      <w:r>
        <w:rPr>
          <w:rFonts w:ascii="Times New Roman" w:hAnsi="Times New Roman" w:eastAsia="黑体" w:cs="Times New Roman"/>
          <w:bCs/>
          <w:color w:val="auto"/>
          <w:sz w:val="24"/>
          <w:szCs w:val="32"/>
          <w:highlight w:val="none"/>
        </w:rPr>
        <w:t>4履约保证金</w:t>
      </w:r>
      <w:bookmarkEnd w:id="164"/>
      <w:bookmarkEnd w:id="165"/>
      <w:bookmarkEnd w:id="166"/>
    </w:p>
    <w:p w14:paraId="197E3B5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7.4.1在签订合同前，成交人应向采购人提交履约保证金。履约保证金</w:t>
      </w:r>
      <w:r>
        <w:rPr>
          <w:rFonts w:hint="eastAsia" w:ascii="Times New Roman" w:hAnsi="Times New Roman" w:cs="Times New Roman"/>
          <w:color w:val="auto"/>
          <w:highlight w:val="none"/>
        </w:rPr>
        <w:t>的金额及形式见供应商须知前附表</w:t>
      </w:r>
      <w:r>
        <w:rPr>
          <w:rFonts w:ascii="Times New Roman" w:hAnsi="Times New Roman" w:cs="Times New Roman"/>
          <w:color w:val="auto"/>
          <w:highlight w:val="none"/>
        </w:rPr>
        <w:t>。</w:t>
      </w:r>
    </w:p>
    <w:p w14:paraId="25DF61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30257051">
      <w:pPr>
        <w:spacing w:line="440" w:lineRule="exact"/>
        <w:ind w:firstLine="420"/>
        <w:rPr>
          <w:color w:val="auto"/>
        </w:rPr>
      </w:pPr>
      <w:r>
        <w:rPr>
          <w:rFonts w:hint="default" w:ascii="Times New Roman" w:hAnsi="Times New Roman" w:cs="Times New Roman"/>
          <w:color w:val="auto"/>
          <w:highlight w:val="none"/>
          <w:lang w:val="en-US" w:eastAsia="zh-CN"/>
        </w:rPr>
        <w:t>7.4.3 履约保证金的退还：</w:t>
      </w:r>
      <w:r>
        <w:rPr>
          <w:rFonts w:hint="eastAsia" w:ascii="Times New Roman" w:hAnsi="Times New Roman" w:cs="Times New Roman"/>
          <w:color w:val="auto"/>
          <w:szCs w:val="21"/>
          <w:highlight w:val="none"/>
          <w:u w:val="none"/>
          <w:lang w:val="en-US" w:eastAsia="zh-CN"/>
        </w:rPr>
        <w:t>见供应商须知前附表</w:t>
      </w:r>
      <w:r>
        <w:rPr>
          <w:rFonts w:hint="eastAsia" w:ascii="Times New Roman" w:hAnsi="Times New Roman" w:cs="Times New Roman"/>
          <w:color w:val="auto"/>
          <w:highlight w:val="none"/>
          <w:lang w:val="en-US" w:eastAsia="zh-CN"/>
        </w:rPr>
        <w:t>。</w:t>
      </w:r>
    </w:p>
    <w:p w14:paraId="015DF6E0">
      <w:pPr>
        <w:keepNext/>
        <w:keepLines/>
        <w:spacing w:before="120" w:after="120"/>
        <w:outlineLvl w:val="2"/>
        <w:rPr>
          <w:rFonts w:ascii="Times New Roman" w:hAnsi="Times New Roman" w:eastAsia="黑体" w:cs="Times New Roman"/>
          <w:bCs/>
          <w:color w:val="auto"/>
          <w:sz w:val="24"/>
          <w:szCs w:val="32"/>
          <w:highlight w:val="none"/>
        </w:rPr>
      </w:pPr>
      <w:bookmarkStart w:id="167" w:name="_Toc26656984"/>
      <w:bookmarkStart w:id="168" w:name="_Toc14201253"/>
      <w:bookmarkStart w:id="169" w:name="_Toc22618"/>
      <w:r>
        <w:rPr>
          <w:rFonts w:ascii="Times New Roman" w:hAnsi="Times New Roman" w:eastAsia="黑体" w:cs="Times New Roman"/>
          <w:bCs/>
          <w:color w:val="auto"/>
          <w:sz w:val="24"/>
          <w:szCs w:val="32"/>
          <w:highlight w:val="none"/>
        </w:rPr>
        <w:t>7.5签订合同</w:t>
      </w:r>
      <w:bookmarkEnd w:id="167"/>
      <w:bookmarkEnd w:id="168"/>
      <w:bookmarkEnd w:id="169"/>
    </w:p>
    <w:p w14:paraId="464325D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03A561BD">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70" w:name="_Toc14201257"/>
      <w:bookmarkStart w:id="171" w:name="_Toc9067727"/>
      <w:bookmarkStart w:id="172" w:name="_Toc26656988"/>
      <w:bookmarkStart w:id="173" w:name="_Toc26692"/>
      <w:r>
        <w:rPr>
          <w:rFonts w:ascii="Times New Roman" w:hAnsi="Times New Roman" w:eastAsia="黑体" w:cs="Times New Roman"/>
          <w:bCs/>
          <w:color w:val="auto"/>
          <w:sz w:val="24"/>
          <w:szCs w:val="32"/>
          <w:highlight w:val="none"/>
        </w:rPr>
        <w:t>8. 纪律和监督</w:t>
      </w:r>
      <w:bookmarkEnd w:id="170"/>
      <w:bookmarkEnd w:id="171"/>
      <w:bookmarkEnd w:id="172"/>
      <w:bookmarkEnd w:id="173"/>
    </w:p>
    <w:p w14:paraId="77F4434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供应商不得相互串通报价或与采购人串通报价，不得向采购人或</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成员行贿谋取成交，不得以他人名义报价或以其他方式弄虚作假骗取成交；供应商不得以任何方式干扰、影响评审工作。</w:t>
      </w:r>
    </w:p>
    <w:p w14:paraId="7B4A3B0B">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74" w:name="_Toc14201262"/>
      <w:bookmarkStart w:id="175" w:name="_Toc26656993"/>
      <w:bookmarkStart w:id="176" w:name="_Toc13625"/>
      <w:r>
        <w:rPr>
          <w:rFonts w:hint="eastAsia" w:ascii="Times New Roman" w:hAnsi="Times New Roman" w:eastAsia="黑体" w:cs="Times New Roman"/>
          <w:bCs/>
          <w:color w:val="auto"/>
          <w:sz w:val="24"/>
          <w:szCs w:val="32"/>
          <w:highlight w:val="none"/>
        </w:rPr>
        <w:t>9</w:t>
      </w:r>
      <w:r>
        <w:rPr>
          <w:rFonts w:ascii="Times New Roman" w:hAnsi="Times New Roman" w:eastAsia="黑体" w:cs="Times New Roman"/>
          <w:bCs/>
          <w:color w:val="auto"/>
          <w:sz w:val="24"/>
          <w:szCs w:val="32"/>
          <w:highlight w:val="none"/>
        </w:rPr>
        <w:t xml:space="preserve"> 投诉</w:t>
      </w:r>
      <w:bookmarkEnd w:id="174"/>
      <w:bookmarkEnd w:id="175"/>
      <w:bookmarkEnd w:id="176"/>
    </w:p>
    <w:p w14:paraId="11691F43">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9</w:t>
      </w:r>
      <w:r>
        <w:rPr>
          <w:rFonts w:ascii="Times New Roman" w:hAnsi="Times New Roman" w:cs="Times New Roman"/>
          <w:color w:val="auto"/>
          <w:highlight w:val="none"/>
        </w:rPr>
        <w:t>.1 供应商或其他利害关系人认为询比活动不符合法律法规规定的，可以自知道或应当知道之日起10日内向有关监督部门投诉。投诉应有明确的请求和必要的证明材料。</w:t>
      </w:r>
    </w:p>
    <w:p w14:paraId="65DBA72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9</w:t>
      </w:r>
      <w:r>
        <w:rPr>
          <w:rFonts w:ascii="Times New Roman" w:hAnsi="Times New Roman" w:cs="Times New Roman"/>
          <w:color w:val="auto"/>
          <w:highlight w:val="none"/>
        </w:rPr>
        <w:t>.2 监督部门</w:t>
      </w:r>
      <w:r>
        <w:rPr>
          <w:rFonts w:hint="eastAsia" w:ascii="Times New Roman" w:hAnsi="Times New Roman" w:cs="Times New Roman"/>
          <w:color w:val="auto"/>
          <w:highlight w:val="none"/>
        </w:rPr>
        <w:t>及</w:t>
      </w:r>
      <w:r>
        <w:rPr>
          <w:rFonts w:ascii="Times New Roman" w:hAnsi="Times New Roman" w:cs="Times New Roman"/>
          <w:color w:val="auto"/>
          <w:highlight w:val="none"/>
        </w:rPr>
        <w:t>联系方式</w:t>
      </w:r>
      <w:r>
        <w:rPr>
          <w:rFonts w:hint="eastAsia" w:ascii="Times New Roman" w:hAnsi="Times New Roman" w:cs="Times New Roman"/>
          <w:color w:val="auto"/>
          <w:highlight w:val="none"/>
        </w:rPr>
        <w:t>：</w:t>
      </w:r>
      <w:r>
        <w:rPr>
          <w:rFonts w:hint="eastAsia" w:ascii="Times New Roman" w:hAnsi="Times New Roman"/>
          <w:color w:val="auto"/>
          <w:highlight w:val="none"/>
          <w:u w:val="single"/>
        </w:rPr>
        <w:t>深圳市安之联置业有限公司 综合部 0755-29168809</w:t>
      </w:r>
      <w:r>
        <w:rPr>
          <w:rFonts w:hint="eastAsia" w:ascii="Times New Roman" w:hAnsi="Times New Roman" w:cs="Times New Roman"/>
          <w:color w:val="auto"/>
          <w:highlight w:val="none"/>
        </w:rPr>
        <w:t>。</w:t>
      </w:r>
    </w:p>
    <w:p w14:paraId="638CE655">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77" w:name="_Toc30379"/>
      <w:bookmarkStart w:id="178" w:name="_Toc26656994"/>
      <w:bookmarkStart w:id="179" w:name="_Toc9067731"/>
      <w:bookmarkStart w:id="180" w:name="_Toc14201263"/>
      <w:r>
        <w:rPr>
          <w:rFonts w:hint="eastAsia"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0</w:t>
      </w:r>
      <w:r>
        <w:rPr>
          <w:rFonts w:ascii="Times New Roman" w:hAnsi="Times New Roman" w:eastAsia="黑体" w:cs="Times New Roman"/>
          <w:bCs/>
          <w:color w:val="auto"/>
          <w:sz w:val="24"/>
          <w:szCs w:val="32"/>
          <w:highlight w:val="none"/>
        </w:rPr>
        <w:t>.</w:t>
      </w:r>
      <w:r>
        <w:rPr>
          <w:rFonts w:hint="eastAsia" w:ascii="Times New Roman" w:hAnsi="Times New Roman" w:eastAsia="黑体" w:cs="Times New Roman"/>
          <w:bCs/>
          <w:color w:val="auto"/>
          <w:sz w:val="24"/>
          <w:szCs w:val="32"/>
          <w:highlight w:val="none"/>
        </w:rPr>
        <w:t xml:space="preserve"> </w:t>
      </w:r>
      <w:r>
        <w:rPr>
          <w:rFonts w:ascii="Times New Roman" w:hAnsi="Times New Roman" w:eastAsia="黑体" w:cs="Times New Roman"/>
          <w:bCs/>
          <w:color w:val="auto"/>
          <w:sz w:val="24"/>
          <w:szCs w:val="32"/>
          <w:highlight w:val="none"/>
        </w:rPr>
        <w:t>需要补充的其他内容</w:t>
      </w:r>
      <w:bookmarkEnd w:id="177"/>
    </w:p>
    <w:bookmarkEnd w:id="178"/>
    <w:bookmarkEnd w:id="179"/>
    <w:bookmarkEnd w:id="180"/>
    <w:p w14:paraId="6C15C7E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需要补充的其他内容：</w:t>
      </w:r>
      <w:r>
        <w:rPr>
          <w:rFonts w:hint="eastAsia" w:ascii="Times New Roman" w:hAnsi="Times New Roman" w:cs="Times New Roman"/>
          <w:color w:val="auto"/>
          <w:highlight w:val="none"/>
          <w:lang w:val="en-US" w:eastAsia="zh-CN"/>
        </w:rPr>
        <w:t>见供应商须知前附表</w:t>
      </w:r>
      <w:r>
        <w:rPr>
          <w:rFonts w:hint="eastAsia" w:ascii="Times New Roman" w:hAnsi="Times New Roman" w:cs="Times New Roman"/>
          <w:color w:val="auto"/>
          <w:highlight w:val="none"/>
        </w:rPr>
        <w:t>。</w:t>
      </w:r>
    </w:p>
    <w:p w14:paraId="076E6265">
      <w:pPr>
        <w:widowControl/>
        <w:jc w:val="left"/>
        <w:rPr>
          <w:rFonts w:ascii="Times New Roman" w:hAnsi="Times New Roman" w:cs="Times New Roman"/>
          <w:color w:val="auto"/>
          <w:highlight w:val="none"/>
        </w:rPr>
      </w:pPr>
      <w:r>
        <w:rPr>
          <w:rFonts w:ascii="Times New Roman" w:hAnsi="Times New Roman" w:cs="Times New Roman"/>
          <w:color w:val="auto"/>
          <w:highlight w:val="none"/>
        </w:rPr>
        <w:br w:type="page"/>
      </w:r>
    </w:p>
    <w:p w14:paraId="4CD2A9E7">
      <w:pPr>
        <w:pStyle w:val="3"/>
        <w:numPr>
          <w:ilvl w:val="0"/>
          <w:numId w:val="0"/>
        </w:numPr>
        <w:spacing w:before="312" w:after="312"/>
        <w:ind w:leftChars="0"/>
        <w:rPr>
          <w:rFonts w:ascii="Times New Roman" w:hAnsi="Times New Roman" w:eastAsia="宋体" w:cs="Times New Roman"/>
          <w:color w:val="auto"/>
          <w:highlight w:val="none"/>
        </w:rPr>
      </w:pPr>
      <w:bookmarkStart w:id="181" w:name="_Toc7697"/>
      <w:r>
        <w:rPr>
          <w:rFonts w:hint="eastAsia" w:ascii="Times New Roman" w:hAnsi="Times New Roman" w:eastAsia="宋体" w:cs="Times New Roman"/>
          <w:color w:val="auto"/>
          <w:highlight w:val="none"/>
          <w:lang w:val="en-US" w:eastAsia="zh-CN"/>
        </w:rPr>
        <w:t xml:space="preserve">第三章 </w:t>
      </w:r>
      <w:r>
        <w:rPr>
          <w:rFonts w:ascii="Times New Roman" w:hAnsi="Times New Roman" w:eastAsia="宋体" w:cs="Times New Roman"/>
          <w:color w:val="auto"/>
          <w:highlight w:val="none"/>
        </w:rPr>
        <w:t>评审办法</w:t>
      </w:r>
      <w:bookmarkEnd w:id="181"/>
    </w:p>
    <w:p w14:paraId="24F46725">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start="1"/>
          <w:cols w:space="720" w:num="1"/>
          <w:docGrid w:type="linesAndChars" w:linePitch="312" w:charSpace="0"/>
        </w:sectPr>
      </w:pPr>
    </w:p>
    <w:p w14:paraId="33E515C0">
      <w:pPr>
        <w:spacing w:after="312" w:afterLines="100" w:line="360" w:lineRule="auto"/>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评审办法前附表（综合评分法）</w:t>
      </w:r>
    </w:p>
    <w:tbl>
      <w:tblPr>
        <w:tblStyle w:val="2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5D69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noWrap w:val="0"/>
            <w:vAlign w:val="center"/>
          </w:tcPr>
          <w:p w14:paraId="7F8C1271">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kern w:val="0"/>
                <w:sz w:val="24"/>
                <w:highlight w:val="none"/>
              </w:rPr>
              <w:t>条款号</w:t>
            </w:r>
          </w:p>
        </w:tc>
        <w:tc>
          <w:tcPr>
            <w:tcW w:w="1774" w:type="dxa"/>
            <w:noWrap w:val="0"/>
            <w:vAlign w:val="center"/>
          </w:tcPr>
          <w:p w14:paraId="0DBB99B0">
            <w:pPr>
              <w:widowControl/>
              <w:ind w:firstLine="120" w:firstLineChars="50"/>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kern w:val="0"/>
                <w:sz w:val="24"/>
                <w:highlight w:val="none"/>
              </w:rPr>
              <w:t>评审因素</w:t>
            </w:r>
          </w:p>
        </w:tc>
        <w:tc>
          <w:tcPr>
            <w:tcW w:w="5676" w:type="dxa"/>
            <w:noWrap w:val="0"/>
            <w:vAlign w:val="center"/>
          </w:tcPr>
          <w:p w14:paraId="287A02D3">
            <w:pPr>
              <w:widowControl/>
              <w:ind w:firstLine="120" w:firstLineChars="50"/>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kern w:val="0"/>
                <w:sz w:val="24"/>
                <w:highlight w:val="none"/>
              </w:rPr>
              <w:t>评审标准</w:t>
            </w:r>
          </w:p>
        </w:tc>
      </w:tr>
      <w:tr w14:paraId="1C67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noWrap w:val="0"/>
            <w:vAlign w:val="center"/>
          </w:tcPr>
          <w:p w14:paraId="3535CAF1">
            <w:pPr>
              <w:widowControl/>
              <w:jc w:val="center"/>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1</w:t>
            </w:r>
          </w:p>
        </w:tc>
        <w:tc>
          <w:tcPr>
            <w:tcW w:w="1060" w:type="dxa"/>
            <w:noWrap w:val="0"/>
            <w:vAlign w:val="center"/>
          </w:tcPr>
          <w:p w14:paraId="69019171">
            <w:pPr>
              <w:widowControl/>
              <w:jc w:val="center"/>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评审方法</w:t>
            </w:r>
          </w:p>
        </w:tc>
        <w:tc>
          <w:tcPr>
            <w:tcW w:w="1774" w:type="dxa"/>
            <w:noWrap w:val="0"/>
            <w:tcMar>
              <w:left w:w="75" w:type="dxa"/>
            </w:tcMar>
            <w:vAlign w:val="center"/>
          </w:tcPr>
          <w:p w14:paraId="775833B8">
            <w:pPr>
              <w:widowControl/>
              <w:adjustRightInd w:val="0"/>
              <w:snapToGrid w:val="0"/>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成交候选人</w:t>
            </w:r>
          </w:p>
          <w:p w14:paraId="14A6AEB3">
            <w:pPr>
              <w:widowControl/>
              <w:adjustRightInd w:val="0"/>
              <w:snapToGrid w:val="0"/>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排序方法</w:t>
            </w:r>
          </w:p>
        </w:tc>
        <w:tc>
          <w:tcPr>
            <w:tcW w:w="5676" w:type="dxa"/>
            <w:noWrap w:val="0"/>
            <w:tcMar>
              <w:left w:w="75" w:type="dxa"/>
            </w:tcMar>
            <w:vAlign w:val="center"/>
          </w:tcPr>
          <w:p w14:paraId="17727FA4">
            <w:pPr>
              <w:widowControl/>
              <w:adjustRightInd w:val="0"/>
              <w:snapToGrid w:val="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按综合得分由高到低的顺序依次推荐成交候选人：</w:t>
            </w:r>
          </w:p>
          <w:p w14:paraId="7988F31C">
            <w:pPr>
              <w:widowControl/>
              <w:adjustRightInd w:val="0"/>
              <w:snapToGrid w:val="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rPr>
              <w:sym w:font="Wingdings 2" w:char="0052"/>
            </w:r>
            <w:r>
              <w:rPr>
                <w:rFonts w:hint="default" w:ascii="Times New Roman" w:hAnsi="Times New Roman" w:eastAsia="仿宋_GB2312" w:cs="Times New Roman"/>
                <w:color w:val="auto"/>
                <w:sz w:val="24"/>
                <w:highlight w:val="none"/>
              </w:rPr>
              <w:t>当综合得分相等时，以评审价得分高的优先；评审价得分也相等的，以评审价低的优先；评审价也相等的，以递交响应文件在前的优先。</w:t>
            </w:r>
          </w:p>
        </w:tc>
      </w:tr>
    </w:tbl>
    <w:p w14:paraId="3534EB22">
      <w:pPr>
        <w:adjustRightInd w:val="0"/>
        <w:snapToGrid w:val="0"/>
        <w:spacing w:line="360" w:lineRule="auto"/>
        <w:ind w:firstLine="420"/>
        <w:textAlignment w:val="baseline"/>
        <w:rPr>
          <w:rFonts w:hint="default" w:ascii="Times New Roman" w:hAnsi="Times New Roman" w:eastAsia="仿宋_GB2312" w:cs="Times New Roman"/>
          <w:color w:val="auto"/>
          <w:sz w:val="24"/>
          <w:highlight w:val="none"/>
        </w:rPr>
      </w:pPr>
    </w:p>
    <w:tbl>
      <w:tblPr>
        <w:tblStyle w:val="2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659"/>
      </w:tblGrid>
      <w:tr w14:paraId="0D84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80" w:type="dxa"/>
            <w:gridSpan w:val="2"/>
            <w:noWrap w:val="0"/>
            <w:vAlign w:val="center"/>
          </w:tcPr>
          <w:p w14:paraId="3004DC37">
            <w:pPr>
              <w:widowControl/>
              <w:spacing w:line="360" w:lineRule="atLeas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kern w:val="0"/>
                <w:sz w:val="24"/>
                <w:highlight w:val="none"/>
              </w:rPr>
              <w:t>条款号</w:t>
            </w:r>
          </w:p>
        </w:tc>
        <w:tc>
          <w:tcPr>
            <w:tcW w:w="1759" w:type="dxa"/>
            <w:noWrap w:val="0"/>
            <w:vAlign w:val="center"/>
          </w:tcPr>
          <w:p w14:paraId="06B09089">
            <w:pPr>
              <w:widowControl/>
              <w:spacing w:line="360" w:lineRule="atLeas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kern w:val="0"/>
                <w:sz w:val="24"/>
                <w:highlight w:val="none"/>
              </w:rPr>
              <w:t>评审因素</w:t>
            </w:r>
          </w:p>
        </w:tc>
        <w:tc>
          <w:tcPr>
            <w:tcW w:w="5659" w:type="dxa"/>
            <w:noWrap w:val="0"/>
            <w:vAlign w:val="center"/>
          </w:tcPr>
          <w:p w14:paraId="7141539E">
            <w:pPr>
              <w:widowControl/>
              <w:spacing w:line="360" w:lineRule="atLeas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kern w:val="0"/>
                <w:sz w:val="24"/>
                <w:highlight w:val="none"/>
              </w:rPr>
              <w:t>评审标准</w:t>
            </w:r>
          </w:p>
        </w:tc>
      </w:tr>
      <w:tr w14:paraId="0613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noWrap w:val="0"/>
            <w:vAlign w:val="center"/>
          </w:tcPr>
          <w:p w14:paraId="7B5217B2">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2.1.1</w:t>
            </w:r>
          </w:p>
        </w:tc>
        <w:tc>
          <w:tcPr>
            <w:tcW w:w="1096" w:type="dxa"/>
            <w:vMerge w:val="restart"/>
            <w:noWrap w:val="0"/>
            <w:vAlign w:val="center"/>
          </w:tcPr>
          <w:p w14:paraId="0CFD5DBE">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形式评审标准</w:t>
            </w:r>
          </w:p>
        </w:tc>
        <w:tc>
          <w:tcPr>
            <w:tcW w:w="1759" w:type="dxa"/>
            <w:noWrap w:val="0"/>
            <w:tcMar>
              <w:left w:w="75" w:type="dxa"/>
            </w:tcMar>
            <w:vAlign w:val="center"/>
          </w:tcPr>
          <w:p w14:paraId="3660AFD2">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供应商名称</w:t>
            </w:r>
          </w:p>
        </w:tc>
        <w:tc>
          <w:tcPr>
            <w:tcW w:w="5659" w:type="dxa"/>
            <w:noWrap w:val="0"/>
            <w:tcMar>
              <w:left w:w="75" w:type="dxa"/>
            </w:tcMar>
            <w:vAlign w:val="center"/>
          </w:tcPr>
          <w:p w14:paraId="2AC88CD7">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与营业执照、资质证书（如有）一致</w:t>
            </w:r>
          </w:p>
        </w:tc>
      </w:tr>
      <w:tr w14:paraId="31EC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noWrap w:val="0"/>
            <w:vAlign w:val="center"/>
          </w:tcPr>
          <w:p w14:paraId="3808605F">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096" w:type="dxa"/>
            <w:vMerge w:val="continue"/>
            <w:noWrap w:val="0"/>
            <w:vAlign w:val="center"/>
          </w:tcPr>
          <w:p w14:paraId="4E7F061D">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759" w:type="dxa"/>
            <w:noWrap w:val="0"/>
            <w:tcMar>
              <w:left w:w="75" w:type="dxa"/>
            </w:tcMar>
            <w:vAlign w:val="center"/>
          </w:tcPr>
          <w:p w14:paraId="10F654DA">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响应文件格式</w:t>
            </w:r>
          </w:p>
        </w:tc>
        <w:tc>
          <w:tcPr>
            <w:tcW w:w="5659" w:type="dxa"/>
            <w:noWrap w:val="0"/>
            <w:tcMar>
              <w:left w:w="75" w:type="dxa"/>
            </w:tcMar>
            <w:vAlign w:val="center"/>
          </w:tcPr>
          <w:p w14:paraId="3B4AAE9E">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符合</w:t>
            </w:r>
            <w:r>
              <w:rPr>
                <w:rFonts w:hint="default" w:ascii="Times New Roman" w:hAnsi="Times New Roman" w:eastAsia="仿宋_GB2312" w:cs="Times New Roman"/>
                <w:color w:val="auto"/>
                <w:kern w:val="0"/>
                <w:sz w:val="24"/>
                <w:highlight w:val="none"/>
                <w:lang w:eastAsia="zh-CN"/>
              </w:rPr>
              <w:t>第六章</w:t>
            </w:r>
            <w:r>
              <w:rPr>
                <w:rFonts w:hint="default" w:ascii="Times New Roman" w:hAnsi="Times New Roman" w:eastAsia="仿宋_GB2312" w:cs="Times New Roman"/>
                <w:color w:val="auto"/>
                <w:kern w:val="0"/>
                <w:sz w:val="24"/>
                <w:highlight w:val="none"/>
              </w:rPr>
              <w:t>“响应文件格式”的规定，关键字迹清晰可辨</w:t>
            </w:r>
          </w:p>
        </w:tc>
      </w:tr>
      <w:tr w14:paraId="64DF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noWrap w:val="0"/>
            <w:vAlign w:val="center"/>
          </w:tcPr>
          <w:p w14:paraId="2D00965C">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096" w:type="dxa"/>
            <w:vMerge w:val="continue"/>
            <w:noWrap w:val="0"/>
            <w:vAlign w:val="center"/>
          </w:tcPr>
          <w:p w14:paraId="225C1825">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759" w:type="dxa"/>
            <w:noWrap w:val="0"/>
            <w:tcMar>
              <w:left w:w="75" w:type="dxa"/>
            </w:tcMar>
            <w:vAlign w:val="center"/>
          </w:tcPr>
          <w:p w14:paraId="4F479207">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签名盖章</w:t>
            </w:r>
          </w:p>
        </w:tc>
        <w:tc>
          <w:tcPr>
            <w:tcW w:w="5659" w:type="dxa"/>
            <w:noWrap w:val="0"/>
            <w:tcMar>
              <w:left w:w="75" w:type="dxa"/>
            </w:tcMar>
            <w:vAlign w:val="center"/>
          </w:tcPr>
          <w:p w14:paraId="5E6F78F4">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Cs/>
                <w:color w:val="auto"/>
                <w:kern w:val="0"/>
                <w:sz w:val="24"/>
                <w:highlight w:val="none"/>
              </w:rPr>
              <w:t>符合第二章“供应商须知”第3.</w:t>
            </w:r>
            <w:r>
              <w:rPr>
                <w:rFonts w:hint="default" w:ascii="Times New Roman" w:hAnsi="Times New Roman" w:eastAsia="仿宋_GB2312" w:cs="Times New Roman"/>
                <w:bCs/>
                <w:color w:val="auto"/>
                <w:kern w:val="0"/>
                <w:sz w:val="24"/>
                <w:highlight w:val="none"/>
                <w:lang w:val="en-US" w:eastAsia="zh-CN"/>
              </w:rPr>
              <w:t>5</w:t>
            </w:r>
            <w:r>
              <w:rPr>
                <w:rFonts w:hint="default" w:ascii="Times New Roman" w:hAnsi="Times New Roman" w:eastAsia="仿宋_GB2312" w:cs="Times New Roman"/>
                <w:bCs/>
                <w:color w:val="auto"/>
                <w:kern w:val="0"/>
                <w:sz w:val="24"/>
                <w:highlight w:val="none"/>
              </w:rPr>
              <w:t>.3项的规定</w:t>
            </w:r>
          </w:p>
        </w:tc>
      </w:tr>
      <w:tr w14:paraId="0929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noWrap w:val="0"/>
            <w:vAlign w:val="center"/>
          </w:tcPr>
          <w:p w14:paraId="74FF1797">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2.1.2</w:t>
            </w:r>
          </w:p>
        </w:tc>
        <w:tc>
          <w:tcPr>
            <w:tcW w:w="1096" w:type="dxa"/>
            <w:noWrap w:val="0"/>
            <w:vAlign w:val="center"/>
          </w:tcPr>
          <w:p w14:paraId="6819A42B">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资格评审标准</w:t>
            </w:r>
          </w:p>
        </w:tc>
        <w:tc>
          <w:tcPr>
            <w:tcW w:w="1759" w:type="dxa"/>
            <w:noWrap w:val="0"/>
            <w:tcMar>
              <w:left w:w="75" w:type="dxa"/>
            </w:tcMar>
            <w:vAlign w:val="center"/>
          </w:tcPr>
          <w:p w14:paraId="5E6E03E7">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资质条件、能力、信誉、其他要求</w:t>
            </w:r>
          </w:p>
        </w:tc>
        <w:tc>
          <w:tcPr>
            <w:tcW w:w="5659" w:type="dxa"/>
            <w:noWrap w:val="0"/>
            <w:tcMar>
              <w:left w:w="75" w:type="dxa"/>
            </w:tcMar>
            <w:vAlign w:val="center"/>
          </w:tcPr>
          <w:p w14:paraId="16797337">
            <w:pPr>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符合第二章“供应商须知”第1.2.1项、第1.2.2项规定</w:t>
            </w:r>
          </w:p>
        </w:tc>
      </w:tr>
      <w:tr w14:paraId="1B12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4" w:type="dxa"/>
            <w:vMerge w:val="restart"/>
            <w:noWrap w:val="0"/>
            <w:vAlign w:val="center"/>
          </w:tcPr>
          <w:p w14:paraId="7323D893">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2.1.3</w:t>
            </w:r>
          </w:p>
        </w:tc>
        <w:tc>
          <w:tcPr>
            <w:tcW w:w="1096" w:type="dxa"/>
            <w:vMerge w:val="restart"/>
            <w:noWrap w:val="0"/>
            <w:vAlign w:val="center"/>
          </w:tcPr>
          <w:p w14:paraId="2F0623A3">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响应性评审标准</w:t>
            </w:r>
          </w:p>
        </w:tc>
        <w:tc>
          <w:tcPr>
            <w:tcW w:w="1759" w:type="dxa"/>
            <w:noWrap w:val="0"/>
            <w:tcMar>
              <w:left w:w="75" w:type="dxa"/>
            </w:tcMar>
            <w:vAlign w:val="center"/>
          </w:tcPr>
          <w:p w14:paraId="63205407">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报价内容</w:t>
            </w:r>
          </w:p>
        </w:tc>
        <w:tc>
          <w:tcPr>
            <w:tcW w:w="5659" w:type="dxa"/>
            <w:noWrap w:val="0"/>
            <w:tcMar>
              <w:left w:w="75" w:type="dxa"/>
            </w:tcMar>
            <w:vAlign w:val="center"/>
          </w:tcPr>
          <w:p w14:paraId="1117C383">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sz w:val="24"/>
                <w:highlight w:val="none"/>
              </w:rPr>
              <w:t>符合第一章“采购公告”规定</w:t>
            </w:r>
          </w:p>
        </w:tc>
      </w:tr>
      <w:tr w14:paraId="2CB9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4" w:type="dxa"/>
            <w:vMerge w:val="continue"/>
            <w:noWrap w:val="0"/>
            <w:vAlign w:val="center"/>
          </w:tcPr>
          <w:p w14:paraId="10048A7B">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096" w:type="dxa"/>
            <w:vMerge w:val="continue"/>
            <w:noWrap w:val="0"/>
            <w:vAlign w:val="center"/>
          </w:tcPr>
          <w:p w14:paraId="502C7E79">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759" w:type="dxa"/>
            <w:noWrap w:val="0"/>
            <w:tcMar>
              <w:left w:w="75" w:type="dxa"/>
            </w:tcMar>
            <w:vAlign w:val="center"/>
          </w:tcPr>
          <w:p w14:paraId="57C72B34">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eastAsia" w:ascii="Times New Roman" w:hAnsi="Times New Roman" w:eastAsia="仿宋_GB2312" w:cs="Times New Roman"/>
                <w:color w:val="auto"/>
                <w:kern w:val="0"/>
                <w:sz w:val="24"/>
                <w:highlight w:val="none"/>
                <w:lang w:val="en-US" w:eastAsia="zh-CN"/>
              </w:rPr>
              <w:t>服务</w:t>
            </w:r>
            <w:r>
              <w:rPr>
                <w:rFonts w:hint="default" w:ascii="Times New Roman" w:hAnsi="Times New Roman" w:eastAsia="仿宋_GB2312" w:cs="Times New Roman"/>
                <w:color w:val="auto"/>
                <w:kern w:val="0"/>
                <w:sz w:val="24"/>
                <w:highlight w:val="none"/>
              </w:rPr>
              <w:t>期</w:t>
            </w:r>
          </w:p>
        </w:tc>
        <w:tc>
          <w:tcPr>
            <w:tcW w:w="5659" w:type="dxa"/>
            <w:noWrap w:val="0"/>
            <w:tcMar>
              <w:left w:w="75" w:type="dxa"/>
            </w:tcMar>
            <w:vAlign w:val="center"/>
          </w:tcPr>
          <w:p w14:paraId="4E6C67B1">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sz w:val="24"/>
                <w:highlight w:val="none"/>
              </w:rPr>
              <w:t>符合第一章“采购公告”规定</w:t>
            </w:r>
          </w:p>
        </w:tc>
      </w:tr>
      <w:tr w14:paraId="528B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noWrap w:val="0"/>
            <w:vAlign w:val="center"/>
          </w:tcPr>
          <w:p w14:paraId="338BE889">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096" w:type="dxa"/>
            <w:vMerge w:val="continue"/>
            <w:noWrap w:val="0"/>
            <w:vAlign w:val="center"/>
          </w:tcPr>
          <w:p w14:paraId="3ED9314D">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759" w:type="dxa"/>
            <w:noWrap w:val="0"/>
            <w:tcMar>
              <w:left w:w="75" w:type="dxa"/>
            </w:tcMar>
            <w:vAlign w:val="center"/>
          </w:tcPr>
          <w:p w14:paraId="2DDBFDF1">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质量要求</w:t>
            </w:r>
          </w:p>
        </w:tc>
        <w:tc>
          <w:tcPr>
            <w:tcW w:w="5659" w:type="dxa"/>
            <w:noWrap w:val="0"/>
            <w:tcMar>
              <w:left w:w="75" w:type="dxa"/>
            </w:tcMar>
            <w:vAlign w:val="center"/>
          </w:tcPr>
          <w:p w14:paraId="70BCE5F2">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符合第二章</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kern w:val="0"/>
                <w:sz w:val="24"/>
                <w:highlight w:val="none"/>
                <w:lang w:val="en-US" w:eastAsia="zh-CN"/>
              </w:rPr>
              <w:t>供应商须知</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kern w:val="0"/>
                <w:sz w:val="24"/>
                <w:highlight w:val="none"/>
                <w:lang w:val="en-US" w:eastAsia="zh-CN"/>
              </w:rPr>
              <w:t>第1.1.1项规定</w:t>
            </w:r>
          </w:p>
        </w:tc>
      </w:tr>
      <w:tr w14:paraId="108A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noWrap w:val="0"/>
            <w:vAlign w:val="center"/>
          </w:tcPr>
          <w:p w14:paraId="77721FB5">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096" w:type="dxa"/>
            <w:vMerge w:val="continue"/>
            <w:noWrap w:val="0"/>
            <w:vAlign w:val="center"/>
          </w:tcPr>
          <w:p w14:paraId="5B9BE7E1">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759" w:type="dxa"/>
            <w:noWrap w:val="0"/>
            <w:tcMar>
              <w:left w:w="75" w:type="dxa"/>
            </w:tcMar>
            <w:vAlign w:val="center"/>
          </w:tcPr>
          <w:p w14:paraId="647D493E">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lang w:val="en-US" w:eastAsia="zh-CN"/>
              </w:rPr>
            </w:pPr>
            <w:r>
              <w:rPr>
                <w:rFonts w:hint="eastAsia" w:ascii="Times New Roman" w:hAnsi="Times New Roman" w:eastAsia="仿宋_GB2312" w:cs="Times New Roman"/>
                <w:color w:val="auto"/>
                <w:kern w:val="0"/>
                <w:sz w:val="24"/>
                <w:highlight w:val="none"/>
                <w:lang w:val="en-US" w:eastAsia="zh-CN"/>
              </w:rPr>
              <w:t>安全目标</w:t>
            </w:r>
          </w:p>
        </w:tc>
        <w:tc>
          <w:tcPr>
            <w:tcW w:w="5659" w:type="dxa"/>
            <w:noWrap w:val="0"/>
            <w:tcMar>
              <w:left w:w="75" w:type="dxa"/>
            </w:tcMar>
            <w:vAlign w:val="center"/>
          </w:tcPr>
          <w:p w14:paraId="546707A6">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符合第二章“供应商须知“第1.1.</w:t>
            </w:r>
            <w:r>
              <w:rPr>
                <w:rFonts w:hint="eastAsia" w:ascii="Times New Roman" w:hAnsi="Times New Roman" w:eastAsia="仿宋_GB2312"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项规定</w:t>
            </w:r>
          </w:p>
        </w:tc>
      </w:tr>
      <w:tr w14:paraId="6205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noWrap w:val="0"/>
            <w:vAlign w:val="center"/>
          </w:tcPr>
          <w:p w14:paraId="237027A6">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096" w:type="dxa"/>
            <w:vMerge w:val="continue"/>
            <w:noWrap w:val="0"/>
            <w:vAlign w:val="center"/>
          </w:tcPr>
          <w:p w14:paraId="431E3F72">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759" w:type="dxa"/>
            <w:noWrap w:val="0"/>
            <w:tcMar>
              <w:left w:w="75" w:type="dxa"/>
            </w:tcMar>
            <w:vAlign w:val="center"/>
          </w:tcPr>
          <w:p w14:paraId="5F9524AA">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响应有效期</w:t>
            </w:r>
          </w:p>
        </w:tc>
        <w:tc>
          <w:tcPr>
            <w:tcW w:w="5659" w:type="dxa"/>
            <w:noWrap w:val="0"/>
            <w:tcMar>
              <w:left w:w="75" w:type="dxa"/>
            </w:tcMar>
            <w:vAlign w:val="center"/>
          </w:tcPr>
          <w:p w14:paraId="587BC508">
            <w:pPr>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符合第二章“供应商须知”第3.3.1项规定</w:t>
            </w:r>
          </w:p>
        </w:tc>
      </w:tr>
      <w:tr w14:paraId="64D8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noWrap w:val="0"/>
            <w:vAlign w:val="center"/>
          </w:tcPr>
          <w:p w14:paraId="3DA1E46F">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096" w:type="dxa"/>
            <w:vMerge w:val="continue"/>
            <w:noWrap w:val="0"/>
            <w:vAlign w:val="center"/>
          </w:tcPr>
          <w:p w14:paraId="0677365E">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759" w:type="dxa"/>
            <w:noWrap w:val="0"/>
            <w:tcMar>
              <w:left w:w="75" w:type="dxa"/>
            </w:tcMar>
            <w:vAlign w:val="center"/>
          </w:tcPr>
          <w:p w14:paraId="0F4D85CB">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权利义务</w:t>
            </w:r>
          </w:p>
        </w:tc>
        <w:tc>
          <w:tcPr>
            <w:tcW w:w="5659" w:type="dxa"/>
            <w:noWrap w:val="0"/>
            <w:tcMar>
              <w:left w:w="75" w:type="dxa"/>
            </w:tcMar>
            <w:vAlign w:val="center"/>
          </w:tcPr>
          <w:p w14:paraId="384DE9BA">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Cs/>
                <w:color w:val="auto"/>
                <w:kern w:val="0"/>
                <w:sz w:val="24"/>
                <w:highlight w:val="none"/>
              </w:rPr>
              <w:t>符合询比文件规定</w:t>
            </w:r>
          </w:p>
        </w:tc>
      </w:tr>
      <w:tr w14:paraId="1BB8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noWrap w:val="0"/>
            <w:vAlign w:val="center"/>
          </w:tcPr>
          <w:p w14:paraId="0920E22D">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096" w:type="dxa"/>
            <w:vMerge w:val="continue"/>
            <w:noWrap w:val="0"/>
            <w:vAlign w:val="center"/>
          </w:tcPr>
          <w:p w14:paraId="34A6F82D">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759" w:type="dxa"/>
            <w:noWrap w:val="0"/>
            <w:tcMar>
              <w:left w:w="75" w:type="dxa"/>
            </w:tcMar>
            <w:vAlign w:val="center"/>
          </w:tcPr>
          <w:p w14:paraId="2A65ADC0">
            <w:pPr>
              <w:widowControl/>
              <w:adjustRightInd w:val="0"/>
              <w:snapToGrid w:val="0"/>
              <w:spacing w:line="360" w:lineRule="atLeast"/>
              <w:jc w:val="left"/>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询比文件的获取</w:t>
            </w:r>
          </w:p>
        </w:tc>
        <w:tc>
          <w:tcPr>
            <w:tcW w:w="5659" w:type="dxa"/>
            <w:noWrap w:val="0"/>
            <w:tcMar>
              <w:left w:w="75" w:type="dxa"/>
            </w:tcMar>
            <w:vAlign w:val="center"/>
          </w:tcPr>
          <w:p w14:paraId="6FFF2054">
            <w:pPr>
              <w:widowControl/>
              <w:adjustRightInd w:val="0"/>
              <w:snapToGrid w:val="0"/>
              <w:spacing w:line="360" w:lineRule="atLeast"/>
              <w:jc w:val="left"/>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符合</w:t>
            </w:r>
            <w:r>
              <w:rPr>
                <w:rFonts w:hint="default" w:ascii="Times New Roman" w:hAnsi="Times New Roman" w:eastAsia="仿宋_GB2312" w:cs="Times New Roman"/>
                <w:color w:val="auto"/>
                <w:sz w:val="24"/>
                <w:highlight w:val="none"/>
              </w:rPr>
              <w:t>第一章“采购公告”</w:t>
            </w:r>
            <w:r>
              <w:rPr>
                <w:rFonts w:hint="default" w:ascii="Times New Roman" w:hAnsi="Times New Roman" w:eastAsia="仿宋_GB2312" w:cs="Times New Roman"/>
                <w:bCs/>
                <w:color w:val="auto"/>
                <w:kern w:val="0"/>
                <w:sz w:val="24"/>
                <w:highlight w:val="none"/>
              </w:rPr>
              <w:t>规定</w:t>
            </w:r>
          </w:p>
        </w:tc>
      </w:tr>
      <w:tr w14:paraId="5D35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noWrap w:val="0"/>
            <w:vAlign w:val="center"/>
          </w:tcPr>
          <w:p w14:paraId="41B87113">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096" w:type="dxa"/>
            <w:vMerge w:val="continue"/>
            <w:noWrap w:val="0"/>
            <w:vAlign w:val="center"/>
          </w:tcPr>
          <w:p w14:paraId="7BBD24F3">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759" w:type="dxa"/>
            <w:tcBorders>
              <w:top w:val="single" w:color="auto" w:sz="4" w:space="0"/>
              <w:left w:val="single" w:color="auto" w:sz="4" w:space="0"/>
              <w:right w:val="single" w:color="auto" w:sz="4" w:space="0"/>
            </w:tcBorders>
            <w:noWrap w:val="0"/>
            <w:tcMar>
              <w:left w:w="75" w:type="dxa"/>
            </w:tcMar>
            <w:vAlign w:val="center"/>
          </w:tcPr>
          <w:p w14:paraId="425D9739">
            <w:pPr>
              <w:widowControl/>
              <w:adjustRightInd w:val="0"/>
              <w:snapToGrid w:val="0"/>
              <w:spacing w:line="360" w:lineRule="atLeast"/>
              <w:jc w:val="left"/>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联合体</w:t>
            </w:r>
          </w:p>
        </w:tc>
        <w:tc>
          <w:tcPr>
            <w:tcW w:w="5659" w:type="dxa"/>
            <w:tcBorders>
              <w:top w:val="outset" w:color="auto" w:sz="6" w:space="0"/>
              <w:left w:val="single" w:color="auto" w:sz="4" w:space="0"/>
              <w:right w:val="outset" w:color="auto" w:sz="6" w:space="0"/>
            </w:tcBorders>
            <w:noWrap w:val="0"/>
            <w:tcMar>
              <w:left w:w="75" w:type="dxa"/>
            </w:tcMar>
            <w:vAlign w:val="center"/>
          </w:tcPr>
          <w:p w14:paraId="1DA781ED">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未以联合体形式报价</w:t>
            </w:r>
          </w:p>
        </w:tc>
      </w:tr>
      <w:tr w14:paraId="23B4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noWrap w:val="0"/>
            <w:vAlign w:val="center"/>
          </w:tcPr>
          <w:p w14:paraId="652C4998">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096" w:type="dxa"/>
            <w:vMerge w:val="continue"/>
            <w:noWrap w:val="0"/>
            <w:vAlign w:val="center"/>
          </w:tcPr>
          <w:p w14:paraId="50770B19">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759" w:type="dxa"/>
            <w:tcBorders>
              <w:top w:val="single" w:color="auto" w:sz="4" w:space="0"/>
              <w:left w:val="single" w:color="auto" w:sz="4" w:space="0"/>
              <w:right w:val="single" w:color="auto" w:sz="4" w:space="0"/>
            </w:tcBorders>
            <w:noWrap w:val="0"/>
            <w:tcMar>
              <w:left w:w="75" w:type="dxa"/>
            </w:tcMar>
            <w:vAlign w:val="center"/>
          </w:tcPr>
          <w:p w14:paraId="2EE0EB15">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Cs/>
                <w:color w:val="auto"/>
                <w:kern w:val="0"/>
                <w:sz w:val="24"/>
                <w:highlight w:val="none"/>
              </w:rPr>
              <w:t>分包</w:t>
            </w:r>
          </w:p>
        </w:tc>
        <w:tc>
          <w:tcPr>
            <w:tcW w:w="5659" w:type="dxa"/>
            <w:tcBorders>
              <w:top w:val="outset" w:color="auto" w:sz="6" w:space="0"/>
              <w:left w:val="single" w:color="auto" w:sz="4" w:space="0"/>
              <w:right w:val="outset" w:color="auto" w:sz="6" w:space="0"/>
            </w:tcBorders>
            <w:noWrap w:val="0"/>
            <w:tcMar>
              <w:left w:w="75" w:type="dxa"/>
            </w:tcMar>
            <w:vAlign w:val="center"/>
          </w:tcPr>
          <w:p w14:paraId="556AAB4E">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没有分包</w:t>
            </w:r>
          </w:p>
        </w:tc>
      </w:tr>
      <w:tr w14:paraId="3EF2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noWrap w:val="0"/>
            <w:vAlign w:val="center"/>
          </w:tcPr>
          <w:p w14:paraId="5569B6E0">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096" w:type="dxa"/>
            <w:vMerge w:val="continue"/>
            <w:noWrap w:val="0"/>
            <w:vAlign w:val="center"/>
          </w:tcPr>
          <w:p w14:paraId="5692BA4F">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759" w:type="dxa"/>
            <w:tcBorders>
              <w:top w:val="single" w:color="auto" w:sz="4" w:space="0"/>
              <w:left w:val="single" w:color="auto" w:sz="4" w:space="0"/>
              <w:right w:val="single" w:color="auto" w:sz="4" w:space="0"/>
            </w:tcBorders>
            <w:noWrap w:val="0"/>
            <w:tcMar>
              <w:left w:w="75" w:type="dxa"/>
            </w:tcMar>
            <w:vAlign w:val="center"/>
          </w:tcPr>
          <w:p w14:paraId="2EC4C58C">
            <w:pPr>
              <w:widowControl/>
              <w:adjustRightInd w:val="0"/>
              <w:snapToGrid w:val="0"/>
              <w:spacing w:line="360" w:lineRule="atLeast"/>
              <w:jc w:val="left"/>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color w:val="auto"/>
                <w:kern w:val="0"/>
                <w:sz w:val="24"/>
                <w:highlight w:val="none"/>
              </w:rPr>
              <w:t>报价</w:t>
            </w:r>
          </w:p>
        </w:tc>
        <w:tc>
          <w:tcPr>
            <w:tcW w:w="5659" w:type="dxa"/>
            <w:tcBorders>
              <w:top w:val="outset" w:color="auto" w:sz="6" w:space="0"/>
              <w:left w:val="single" w:color="auto" w:sz="4" w:space="0"/>
              <w:right w:val="outset" w:color="auto" w:sz="6" w:space="0"/>
            </w:tcBorders>
            <w:noWrap w:val="0"/>
            <w:tcMar>
              <w:left w:w="75" w:type="dxa"/>
            </w:tcMar>
            <w:vAlign w:val="center"/>
          </w:tcPr>
          <w:p w14:paraId="77ED2F18">
            <w:pPr>
              <w:widowControl w:val="0"/>
              <w:spacing w:after="120"/>
              <w:jc w:val="both"/>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（1）报价未超过询比文件设定的最高限价。</w:t>
            </w:r>
          </w:p>
          <w:p w14:paraId="7C9CB2B9">
            <w:pPr>
              <w:widowControl w:val="0"/>
              <w:spacing w:after="120"/>
              <w:jc w:val="both"/>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（2）已标价的报价清单总报价和报价函的报价一致（四舍五入除外）。</w:t>
            </w:r>
          </w:p>
          <w:p w14:paraId="3AD4F5AB">
            <w:pPr>
              <w:widowControl w:val="0"/>
              <w:spacing w:after="120"/>
              <w:jc w:val="both"/>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（3）报价的大写数值能确定具体数值，未出现数量级错误、报价金额单位错误。</w:t>
            </w:r>
          </w:p>
          <w:p w14:paraId="6ACD2B7F">
            <w:pPr>
              <w:widowControl w:val="0"/>
              <w:spacing w:after="120"/>
              <w:jc w:val="both"/>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（4）同一供应商未递交两个以上不同的报价。</w:t>
            </w:r>
          </w:p>
          <w:p w14:paraId="082F27E8">
            <w:pPr>
              <w:widowControl w:val="0"/>
              <w:spacing w:after="1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仿宋_GB2312" w:cs="Times New Roman"/>
                <w:color w:val="auto"/>
                <w:sz w:val="24"/>
                <w:highlight w:val="none"/>
              </w:rPr>
              <w:t>（5）供应商按采购人提供的书面报价清单填写了报价，且未修改报价清单说明、数量等实质性内容。</w:t>
            </w:r>
          </w:p>
        </w:tc>
      </w:tr>
      <w:tr w14:paraId="3AFC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noWrap w:val="0"/>
            <w:vAlign w:val="center"/>
          </w:tcPr>
          <w:p w14:paraId="43A784A3">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096" w:type="dxa"/>
            <w:vMerge w:val="continue"/>
            <w:noWrap w:val="0"/>
            <w:vAlign w:val="center"/>
          </w:tcPr>
          <w:p w14:paraId="37A456C5">
            <w:pPr>
              <w:widowControl/>
              <w:adjustRightInd w:val="0"/>
              <w:snapToGrid w:val="0"/>
              <w:spacing w:line="360" w:lineRule="atLeast"/>
              <w:jc w:val="center"/>
              <w:rPr>
                <w:rFonts w:hint="default" w:ascii="Times New Roman" w:hAnsi="Times New Roman" w:eastAsia="仿宋_GB2312" w:cs="Times New Roman"/>
                <w:color w:val="auto"/>
                <w:kern w:val="0"/>
                <w:sz w:val="24"/>
                <w:highlight w:val="none"/>
              </w:rPr>
            </w:pPr>
          </w:p>
        </w:tc>
        <w:tc>
          <w:tcPr>
            <w:tcW w:w="1759" w:type="dxa"/>
            <w:noWrap w:val="0"/>
            <w:tcMar>
              <w:left w:w="75" w:type="dxa"/>
            </w:tcMar>
            <w:vAlign w:val="center"/>
          </w:tcPr>
          <w:p w14:paraId="5EBF0B23">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其他实质性要求</w:t>
            </w:r>
          </w:p>
        </w:tc>
        <w:tc>
          <w:tcPr>
            <w:tcW w:w="5659" w:type="dxa"/>
            <w:noWrap w:val="0"/>
            <w:tcMar>
              <w:left w:w="75" w:type="dxa"/>
            </w:tcMar>
            <w:vAlign w:val="center"/>
          </w:tcPr>
          <w:p w14:paraId="47C63619">
            <w:pPr>
              <w:widowControl/>
              <w:adjustRightInd w:val="0"/>
              <w:snapToGrid w:val="0"/>
              <w:spacing w:line="360" w:lineRule="atLeas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符合询比文件的其他实质性要求和条件</w:t>
            </w:r>
          </w:p>
        </w:tc>
      </w:tr>
    </w:tbl>
    <w:p w14:paraId="7224E1EE">
      <w:pPr>
        <w:widowControl/>
        <w:spacing w:line="360" w:lineRule="atLeast"/>
        <w:jc w:val="center"/>
        <w:rPr>
          <w:rFonts w:hint="default" w:ascii="Times New Roman" w:hAnsi="Times New Roman" w:eastAsia="仿宋_GB2312" w:cs="Times New Roman"/>
          <w:color w:val="auto"/>
          <w:sz w:val="24"/>
          <w:highlight w:val="none"/>
        </w:rPr>
      </w:pPr>
    </w:p>
    <w:tbl>
      <w:tblPr>
        <w:tblStyle w:val="21"/>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65DD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noWrap w:val="0"/>
            <w:vAlign w:val="center"/>
          </w:tcPr>
          <w:p w14:paraId="0DF42193">
            <w:pPr>
              <w:snapToGrid w:val="0"/>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条款号</w:t>
            </w:r>
          </w:p>
        </w:tc>
        <w:tc>
          <w:tcPr>
            <w:tcW w:w="1276" w:type="dxa"/>
            <w:noWrap w:val="0"/>
            <w:tcMar>
              <w:left w:w="75" w:type="dxa"/>
            </w:tcMar>
            <w:vAlign w:val="center"/>
          </w:tcPr>
          <w:p w14:paraId="101B02DE">
            <w:pPr>
              <w:snapToGrid w:val="0"/>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条款内容</w:t>
            </w:r>
          </w:p>
        </w:tc>
        <w:tc>
          <w:tcPr>
            <w:tcW w:w="6232" w:type="dxa"/>
            <w:noWrap w:val="0"/>
            <w:vAlign w:val="center"/>
          </w:tcPr>
          <w:p w14:paraId="227BAE74">
            <w:pPr>
              <w:widowControl/>
              <w:snapToGrid w:val="0"/>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编列内容</w:t>
            </w:r>
          </w:p>
        </w:tc>
      </w:tr>
      <w:tr w14:paraId="56D8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96" w:type="dxa"/>
            <w:noWrap w:val="0"/>
            <w:vAlign w:val="center"/>
          </w:tcPr>
          <w:p w14:paraId="3DE2937E">
            <w:pPr>
              <w:snapToGrid w:val="0"/>
              <w:jc w:val="center"/>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2.2.1</w:t>
            </w:r>
          </w:p>
        </w:tc>
        <w:tc>
          <w:tcPr>
            <w:tcW w:w="1276" w:type="dxa"/>
            <w:noWrap w:val="0"/>
            <w:tcMar>
              <w:left w:w="75" w:type="dxa"/>
            </w:tcMar>
            <w:vAlign w:val="center"/>
          </w:tcPr>
          <w:p w14:paraId="7AA67E94">
            <w:pPr>
              <w:snapToGrid w:val="0"/>
              <w:jc w:val="left"/>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color w:val="auto"/>
                <w:sz w:val="24"/>
                <w:highlight w:val="none"/>
              </w:rPr>
              <w:t>分值构成（100分）</w:t>
            </w:r>
          </w:p>
        </w:tc>
        <w:tc>
          <w:tcPr>
            <w:tcW w:w="6232" w:type="dxa"/>
            <w:noWrap w:val="0"/>
            <w:vAlign w:val="center"/>
          </w:tcPr>
          <w:p w14:paraId="2338A681">
            <w:pPr>
              <w:ind w:firstLine="480" w:firstLineChars="200"/>
              <w:rPr>
                <w:rFonts w:hint="default" w:ascii="Times New Roman" w:hAnsi="Times New Roman" w:eastAsia="仿宋_GB2312" w:cs="Times New Roman"/>
                <w:b/>
                <w:bCs/>
                <w:color w:val="auto"/>
                <w:sz w:val="24"/>
                <w:szCs w:val="24"/>
                <w:highlight w:val="none"/>
                <w:lang w:val="en-US" w:eastAsia="zh-CN"/>
              </w:rPr>
            </w:pPr>
            <w:r>
              <w:rPr>
                <w:rFonts w:hint="eastAsia" w:ascii="Times New Roman" w:hAnsi="Times New Roman" w:eastAsia="仿宋_GB2312" w:cs="Times New Roman"/>
                <w:color w:val="auto"/>
                <w:sz w:val="24"/>
                <w:highlight w:val="none"/>
                <w:lang w:val="en-US" w:eastAsia="zh-CN"/>
              </w:rPr>
              <w:t>项目业绩</w:t>
            </w:r>
            <w:r>
              <w:rPr>
                <w:rFonts w:hint="default" w:ascii="Times New Roman" w:hAnsi="Times New Roman" w:eastAsia="仿宋_GB2312" w:cs="Times New Roman"/>
                <w:b/>
                <w:bCs/>
                <w:color w:val="auto"/>
                <w:sz w:val="24"/>
                <w:szCs w:val="24"/>
                <w:highlight w:val="none"/>
              </w:rPr>
              <w:t>：</w:t>
            </w:r>
            <w:r>
              <w:rPr>
                <w:rFonts w:hint="eastAsia" w:ascii="Times New Roman" w:hAnsi="Times New Roman" w:eastAsia="仿宋_GB2312" w:cs="Times New Roman"/>
                <w:b/>
                <w:bCs/>
                <w:color w:val="auto"/>
                <w:sz w:val="24"/>
                <w:szCs w:val="24"/>
                <w:highlight w:val="none"/>
                <w:u w:val="single"/>
                <w:lang w:val="en-US" w:eastAsia="zh-CN"/>
              </w:rPr>
              <w:t>10</w:t>
            </w:r>
            <w:r>
              <w:rPr>
                <w:rFonts w:hint="default" w:ascii="Times New Roman" w:hAnsi="Times New Roman" w:eastAsia="仿宋_GB2312" w:cs="Times New Roman"/>
                <w:b/>
                <w:bCs/>
                <w:color w:val="auto"/>
                <w:sz w:val="24"/>
                <w:szCs w:val="24"/>
                <w:highlight w:val="none"/>
              </w:rPr>
              <w:t>分</w:t>
            </w:r>
          </w:p>
          <w:p w14:paraId="107763FE">
            <w:pPr>
              <w:ind w:firstLine="482" w:firstLineChars="200"/>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lang w:val="en-US" w:eastAsia="zh-CN"/>
              </w:rPr>
              <w:t>服务方案</w:t>
            </w:r>
            <w:r>
              <w:rPr>
                <w:rFonts w:hint="default" w:ascii="Times New Roman" w:hAnsi="Times New Roman" w:eastAsia="仿宋_GB2312" w:cs="Times New Roman"/>
                <w:b/>
                <w:bCs/>
                <w:color w:val="auto"/>
                <w:sz w:val="24"/>
                <w:szCs w:val="24"/>
                <w:highlight w:val="none"/>
              </w:rPr>
              <w:t>：</w:t>
            </w:r>
            <w:r>
              <w:rPr>
                <w:rFonts w:hint="eastAsia" w:ascii="Times New Roman" w:hAnsi="Times New Roman" w:eastAsia="仿宋_GB2312" w:cs="Times New Roman"/>
                <w:b/>
                <w:bCs/>
                <w:color w:val="auto"/>
                <w:sz w:val="24"/>
                <w:szCs w:val="24"/>
                <w:highlight w:val="none"/>
                <w:u w:val="single"/>
                <w:lang w:val="en-US" w:eastAsia="zh-CN"/>
              </w:rPr>
              <w:t>20</w:t>
            </w:r>
            <w:r>
              <w:rPr>
                <w:rFonts w:hint="default" w:ascii="Times New Roman" w:hAnsi="Times New Roman" w:eastAsia="仿宋_GB2312" w:cs="Times New Roman"/>
                <w:b/>
                <w:bCs/>
                <w:color w:val="auto"/>
                <w:sz w:val="24"/>
                <w:szCs w:val="24"/>
                <w:highlight w:val="none"/>
              </w:rPr>
              <w:t>分</w:t>
            </w:r>
          </w:p>
          <w:p w14:paraId="2BF38C4F">
            <w:pPr>
              <w:spacing w:line="360" w:lineRule="atLeast"/>
              <w:ind w:firstLine="482"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sz w:val="24"/>
                <w:szCs w:val="24"/>
                <w:highlight w:val="none"/>
              </w:rPr>
              <w:t>评审价：</w:t>
            </w:r>
            <w:r>
              <w:rPr>
                <w:rFonts w:hint="eastAsia" w:ascii="Times New Roman" w:hAnsi="Times New Roman" w:eastAsia="仿宋_GB2312" w:cs="Times New Roman"/>
                <w:b/>
                <w:bCs/>
                <w:color w:val="auto"/>
                <w:sz w:val="24"/>
                <w:szCs w:val="24"/>
                <w:highlight w:val="none"/>
                <w:u w:val="single"/>
                <w:lang w:val="en-US" w:eastAsia="zh-CN"/>
              </w:rPr>
              <w:t>70</w:t>
            </w:r>
            <w:r>
              <w:rPr>
                <w:rFonts w:hint="default" w:ascii="Times New Roman" w:hAnsi="Times New Roman" w:eastAsia="仿宋_GB2312" w:cs="Times New Roman"/>
                <w:b/>
                <w:bCs/>
                <w:color w:val="auto"/>
                <w:sz w:val="24"/>
                <w:szCs w:val="24"/>
                <w:highlight w:val="none"/>
              </w:rPr>
              <w:t>分</w:t>
            </w:r>
          </w:p>
        </w:tc>
      </w:tr>
      <w:tr w14:paraId="5D82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noWrap w:val="0"/>
            <w:vAlign w:val="center"/>
          </w:tcPr>
          <w:p w14:paraId="50948DE4">
            <w:pPr>
              <w:snapToGrid w:val="0"/>
              <w:jc w:val="center"/>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color w:val="auto"/>
                <w:sz w:val="24"/>
                <w:highlight w:val="none"/>
              </w:rPr>
              <w:t>2.2.2</w:t>
            </w:r>
          </w:p>
        </w:tc>
        <w:tc>
          <w:tcPr>
            <w:tcW w:w="1276" w:type="dxa"/>
            <w:tcBorders>
              <w:top w:val="single" w:color="auto" w:sz="4" w:space="0"/>
              <w:bottom w:val="single" w:color="auto" w:sz="4" w:space="0"/>
              <w:right w:val="single" w:color="auto" w:sz="4" w:space="0"/>
            </w:tcBorders>
            <w:noWrap w:val="0"/>
            <w:tcMar>
              <w:left w:w="75" w:type="dxa"/>
            </w:tcMar>
            <w:vAlign w:val="center"/>
          </w:tcPr>
          <w:p w14:paraId="6BF2A00F">
            <w:pPr>
              <w:snapToGrid w:val="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评审基准价计算方法</w:t>
            </w:r>
          </w:p>
        </w:tc>
        <w:tc>
          <w:tcPr>
            <w:tcW w:w="6232" w:type="dxa"/>
            <w:tcBorders>
              <w:top w:val="single" w:color="auto" w:sz="4" w:space="0"/>
              <w:left w:val="single" w:color="auto" w:sz="4" w:space="0"/>
              <w:bottom w:val="single" w:color="auto" w:sz="4" w:space="0"/>
              <w:right w:val="single" w:color="auto" w:sz="4" w:space="0"/>
            </w:tcBorders>
            <w:noWrap w:val="0"/>
            <w:vAlign w:val="center"/>
          </w:tcPr>
          <w:p w14:paraId="112C1584">
            <w:pPr>
              <w:spacing w:line="360" w:lineRule="atLeast"/>
              <w:ind w:firstLine="42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评审基准价的计算：</w:t>
            </w:r>
          </w:p>
          <w:p w14:paraId="286B00BF">
            <w:pPr>
              <w:spacing w:line="360" w:lineRule="atLeast"/>
              <w:ind w:firstLine="42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（1）评审价的确定：</w:t>
            </w:r>
          </w:p>
          <w:p w14:paraId="2A751303">
            <w:pPr>
              <w:spacing w:line="360" w:lineRule="atLeast"/>
              <w:ind w:firstLine="42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评审价＝修正后的报价</w:t>
            </w:r>
          </w:p>
          <w:p w14:paraId="42839D2E">
            <w:pPr>
              <w:spacing w:line="360" w:lineRule="atLeast"/>
              <w:ind w:firstLine="42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（2）评审价平均值的计算：</w:t>
            </w:r>
          </w:p>
          <w:p w14:paraId="0544DF52">
            <w:pPr>
              <w:spacing w:line="360" w:lineRule="atLeast"/>
              <w:ind w:firstLine="42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所有通过初步评审的供应商的评审价去掉一个最高值和一个最低值后的算术平均值即为评审价平均值（如果参与评审价平均值计算的有效供应商少于5家时，则计算评审价平均值时不去掉最高值和最低值）；</w:t>
            </w:r>
          </w:p>
          <w:p w14:paraId="1653A4F3">
            <w:pPr>
              <w:spacing w:line="360" w:lineRule="atLeast"/>
              <w:ind w:firstLine="42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（3）评审基准价的确定 ：</w:t>
            </w:r>
          </w:p>
          <w:p w14:paraId="19026FBE">
            <w:pPr>
              <w:spacing w:line="360" w:lineRule="atLeast"/>
              <w:ind w:firstLine="42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2" w:char="0052"/>
            </w:r>
            <w:r>
              <w:rPr>
                <w:rFonts w:hint="default" w:ascii="Times New Roman" w:hAnsi="Times New Roman" w:eastAsia="仿宋_GB2312" w:cs="Times New Roman"/>
                <w:color w:val="auto"/>
                <w:sz w:val="24"/>
                <w:highlight w:val="none"/>
              </w:rPr>
              <w:t>方法一：将评审价平均值直接作为评审基准价。</w:t>
            </w:r>
          </w:p>
        </w:tc>
      </w:tr>
      <w:tr w14:paraId="0C43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noWrap w:val="0"/>
            <w:vAlign w:val="center"/>
          </w:tcPr>
          <w:p w14:paraId="09036E4F">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2.2.3</w:t>
            </w:r>
          </w:p>
        </w:tc>
        <w:tc>
          <w:tcPr>
            <w:tcW w:w="1276" w:type="dxa"/>
            <w:tcBorders>
              <w:top w:val="single" w:color="auto" w:sz="4" w:space="0"/>
              <w:right w:val="single" w:color="auto" w:sz="4" w:space="0"/>
            </w:tcBorders>
            <w:noWrap w:val="0"/>
            <w:tcMar>
              <w:left w:w="75" w:type="dxa"/>
            </w:tcMar>
            <w:vAlign w:val="center"/>
          </w:tcPr>
          <w:p w14:paraId="2390C9F0">
            <w:pPr>
              <w:snapToGrid w:val="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评审价的偏差率计算公式</w:t>
            </w:r>
          </w:p>
        </w:tc>
        <w:tc>
          <w:tcPr>
            <w:tcW w:w="6232" w:type="dxa"/>
            <w:tcBorders>
              <w:top w:val="single" w:color="auto" w:sz="4" w:space="0"/>
              <w:left w:val="single" w:color="auto" w:sz="4" w:space="0"/>
              <w:right w:val="single" w:color="auto" w:sz="4" w:space="0"/>
            </w:tcBorders>
            <w:noWrap w:val="0"/>
            <w:vAlign w:val="center"/>
          </w:tcPr>
          <w:p w14:paraId="0B3903F3">
            <w:pPr>
              <w:spacing w:line="360" w:lineRule="atLeast"/>
              <w:ind w:left="479" w:leftChars="228" w:firstLine="0" w:firstLineChars="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偏差率=100% ×（供应商评审价－评审基准价）/评审基准价</w:t>
            </w:r>
          </w:p>
          <w:p w14:paraId="24D61A72">
            <w:pPr>
              <w:spacing w:line="360" w:lineRule="atLeast"/>
              <w:ind w:firstLine="42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偏差率保留</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u w:val="single"/>
                <w:lang w:val="en-US" w:eastAsia="zh-CN"/>
              </w:rPr>
              <w:t>2</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位小数</w:t>
            </w:r>
          </w:p>
        </w:tc>
      </w:tr>
    </w:tbl>
    <w:p w14:paraId="707E9343">
      <w:pPr>
        <w:jc w:val="right"/>
        <w:rPr>
          <w:rFonts w:hint="default" w:ascii="Times New Roman" w:hAnsi="Times New Roman" w:eastAsia="仿宋_GB2312" w:cs="Times New Roman"/>
          <w:color w:val="auto"/>
          <w:spacing w:val="4"/>
          <w:sz w:val="24"/>
          <w:highlight w:val="none"/>
        </w:rPr>
      </w:pPr>
    </w:p>
    <w:p w14:paraId="06427AF8">
      <w:pPr>
        <w:jc w:val="left"/>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br w:type="page"/>
      </w:r>
    </w:p>
    <w:p w14:paraId="58E2CF73">
      <w:pPr>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续上表</w:t>
      </w:r>
    </w:p>
    <w:tbl>
      <w:tblPr>
        <w:tblStyle w:val="21"/>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635"/>
        <w:gridCol w:w="1005"/>
        <w:gridCol w:w="2877"/>
        <w:gridCol w:w="756"/>
        <w:gridCol w:w="1771"/>
      </w:tblGrid>
      <w:tr w14:paraId="1B43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33" w:type="dxa"/>
            <w:gridSpan w:val="5"/>
            <w:tcBorders>
              <w:top w:val="single" w:color="auto" w:sz="4" w:space="0"/>
            </w:tcBorders>
            <w:noWrap w:val="0"/>
            <w:vAlign w:val="top"/>
          </w:tcPr>
          <w:p w14:paraId="22BDC8D8">
            <w:pPr>
              <w:spacing w:line="380" w:lineRule="atLeast"/>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评分因素与权重分值</w:t>
            </w:r>
          </w:p>
        </w:tc>
        <w:tc>
          <w:tcPr>
            <w:tcW w:w="1771" w:type="dxa"/>
            <w:vMerge w:val="restart"/>
            <w:tcBorders>
              <w:top w:val="single" w:color="auto" w:sz="4" w:space="0"/>
            </w:tcBorders>
            <w:noWrap w:val="0"/>
            <w:vAlign w:val="center"/>
          </w:tcPr>
          <w:p w14:paraId="5F62D789">
            <w:pPr>
              <w:spacing w:line="380" w:lineRule="atLeast"/>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评分标准</w:t>
            </w:r>
          </w:p>
        </w:tc>
      </w:tr>
      <w:tr w14:paraId="65AF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60" w:type="dxa"/>
            <w:noWrap w:val="0"/>
            <w:vAlign w:val="center"/>
          </w:tcPr>
          <w:p w14:paraId="3C152394">
            <w:pPr>
              <w:spacing w:line="380" w:lineRule="atLeast"/>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条款号</w:t>
            </w:r>
          </w:p>
        </w:tc>
        <w:tc>
          <w:tcPr>
            <w:tcW w:w="1635" w:type="dxa"/>
            <w:noWrap w:val="0"/>
            <w:vAlign w:val="center"/>
          </w:tcPr>
          <w:p w14:paraId="33EA2130">
            <w:pPr>
              <w:spacing w:line="380" w:lineRule="atLeast"/>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评分因素</w:t>
            </w:r>
          </w:p>
        </w:tc>
        <w:tc>
          <w:tcPr>
            <w:tcW w:w="1005" w:type="dxa"/>
            <w:noWrap w:val="0"/>
            <w:vAlign w:val="center"/>
          </w:tcPr>
          <w:p w14:paraId="61BFFFEC">
            <w:pPr>
              <w:spacing w:line="380" w:lineRule="atLeast"/>
              <w:ind w:left="-105" w:leftChars="-50" w:right="-105" w:rightChars="-50"/>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评分因素权重分值</w:t>
            </w:r>
          </w:p>
        </w:tc>
        <w:tc>
          <w:tcPr>
            <w:tcW w:w="2877" w:type="dxa"/>
            <w:noWrap w:val="0"/>
            <w:vAlign w:val="center"/>
          </w:tcPr>
          <w:p w14:paraId="5B56138A">
            <w:pPr>
              <w:spacing w:line="380" w:lineRule="atLeast"/>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各评分因素细分项</w:t>
            </w:r>
          </w:p>
        </w:tc>
        <w:tc>
          <w:tcPr>
            <w:tcW w:w="756" w:type="dxa"/>
            <w:noWrap w:val="0"/>
            <w:vAlign w:val="center"/>
          </w:tcPr>
          <w:p w14:paraId="41F52C86">
            <w:pPr>
              <w:spacing w:line="380" w:lineRule="atLeast"/>
              <w:jc w:val="right"/>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分值</w:t>
            </w:r>
          </w:p>
        </w:tc>
        <w:tc>
          <w:tcPr>
            <w:tcW w:w="1771" w:type="dxa"/>
            <w:vMerge w:val="continue"/>
            <w:noWrap w:val="0"/>
            <w:vAlign w:val="top"/>
          </w:tcPr>
          <w:p w14:paraId="049F2D9F">
            <w:pPr>
              <w:spacing w:line="380" w:lineRule="atLeast"/>
              <w:jc w:val="center"/>
              <w:rPr>
                <w:rFonts w:hint="default" w:ascii="Times New Roman" w:hAnsi="Times New Roman" w:eastAsia="仿宋_GB2312" w:cs="Times New Roman"/>
                <w:b/>
                <w:color w:val="auto"/>
                <w:sz w:val="24"/>
                <w:highlight w:val="none"/>
              </w:rPr>
            </w:pPr>
          </w:p>
        </w:tc>
      </w:tr>
      <w:tr w14:paraId="2905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160" w:type="dxa"/>
            <w:noWrap w:val="0"/>
            <w:vAlign w:val="center"/>
          </w:tcPr>
          <w:p w14:paraId="7C875A32">
            <w:pPr>
              <w:spacing w:line="38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2.2.4</w:t>
            </w:r>
            <w:r>
              <w:rPr>
                <w:rFonts w:hint="default"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1</w:t>
            </w:r>
            <w:r>
              <w:rPr>
                <w:rFonts w:hint="default" w:ascii="Times New Roman" w:hAnsi="Times New Roman" w:eastAsia="仿宋_GB2312" w:cs="Times New Roman"/>
                <w:color w:val="auto"/>
                <w:sz w:val="24"/>
                <w:highlight w:val="none"/>
                <w:lang w:eastAsia="zh-CN"/>
              </w:rPr>
              <w:t>）</w:t>
            </w:r>
          </w:p>
        </w:tc>
        <w:tc>
          <w:tcPr>
            <w:tcW w:w="1635" w:type="dxa"/>
            <w:noWrap w:val="0"/>
            <w:vAlign w:val="center"/>
          </w:tcPr>
          <w:p w14:paraId="21D8B11E">
            <w:pPr>
              <w:spacing w:line="380" w:lineRule="atLeast"/>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项目业绩</w:t>
            </w:r>
          </w:p>
        </w:tc>
        <w:tc>
          <w:tcPr>
            <w:tcW w:w="1005" w:type="dxa"/>
            <w:noWrap w:val="0"/>
            <w:vAlign w:val="center"/>
          </w:tcPr>
          <w:p w14:paraId="3B19F1D7">
            <w:pPr>
              <w:spacing w:line="380" w:lineRule="atLeast"/>
              <w:jc w:val="center"/>
              <w:rPr>
                <w:rFonts w:hint="default" w:ascii="Times New Roman" w:hAnsi="Times New Roman" w:eastAsia="仿宋_GB2312" w:cs="Times New Roman"/>
                <w:color w:val="auto"/>
                <w:sz w:val="24"/>
                <w:highlight w:val="none"/>
                <w:u w:val="single"/>
                <w:lang w:val="en-US" w:eastAsia="zh-CN"/>
              </w:rPr>
            </w:pPr>
            <w:r>
              <w:rPr>
                <w:rFonts w:hint="eastAsia" w:ascii="Times New Roman" w:hAnsi="Times New Roman" w:eastAsia="仿宋_GB2312" w:cs="Times New Roman"/>
                <w:color w:val="auto"/>
                <w:sz w:val="24"/>
                <w:highlight w:val="none"/>
                <w:u w:val="single"/>
                <w:lang w:val="en-US" w:eastAsia="zh-CN"/>
              </w:rPr>
              <w:t>10分</w:t>
            </w:r>
          </w:p>
        </w:tc>
        <w:tc>
          <w:tcPr>
            <w:tcW w:w="5404" w:type="dxa"/>
            <w:gridSpan w:val="3"/>
            <w:noWrap w:val="0"/>
            <w:vAlign w:val="center"/>
          </w:tcPr>
          <w:p w14:paraId="4E514E5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rPr>
              <w:t>满足资格业绩要求，得基本分</w:t>
            </w:r>
            <w:r>
              <w:rPr>
                <w:rFonts w:hint="eastAsia" w:ascii="Times New Roman" w:hAnsi="Times New Roman" w:eastAsia="仿宋_GB2312" w:cs="Times New Roman"/>
                <w:color w:val="auto"/>
                <w:sz w:val="24"/>
                <w:highlight w:val="none"/>
                <w:lang w:val="en-US" w:eastAsia="zh-CN"/>
              </w:rPr>
              <w:t>4</w:t>
            </w:r>
            <w:r>
              <w:rPr>
                <w:rFonts w:hint="eastAsia" w:ascii="Times New Roman" w:hAnsi="Times New Roman" w:eastAsia="仿宋_GB2312" w:cs="Times New Roman"/>
                <w:color w:val="auto"/>
                <w:sz w:val="24"/>
                <w:highlight w:val="none"/>
              </w:rPr>
              <w:t>分，每多提供1个加</w:t>
            </w:r>
            <w:r>
              <w:rPr>
                <w:rFonts w:hint="eastAsia" w:ascii="Times New Roman" w:hAnsi="Times New Roman" w:eastAsia="仿宋_GB2312" w:cs="Times New Roman"/>
                <w:color w:val="auto"/>
                <w:sz w:val="24"/>
                <w:highlight w:val="none"/>
                <w:lang w:val="en-US" w:eastAsia="zh-CN"/>
              </w:rPr>
              <w:t>2</w:t>
            </w:r>
            <w:r>
              <w:rPr>
                <w:rFonts w:hint="eastAsia" w:ascii="Times New Roman" w:hAnsi="Times New Roman" w:eastAsia="仿宋_GB2312" w:cs="Times New Roman"/>
                <w:color w:val="auto"/>
                <w:sz w:val="24"/>
                <w:highlight w:val="none"/>
              </w:rPr>
              <w:t>分，最高得10分。</w:t>
            </w:r>
          </w:p>
          <w:p w14:paraId="5215CD3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rPr>
              <w:t>注：同资格业绩要求提供证明材料</w:t>
            </w:r>
          </w:p>
        </w:tc>
      </w:tr>
      <w:tr w14:paraId="69F4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1160" w:type="dxa"/>
            <w:noWrap w:val="0"/>
            <w:vAlign w:val="center"/>
          </w:tcPr>
          <w:p w14:paraId="565D437A">
            <w:pPr>
              <w:spacing w:line="380" w:lineRule="atLeas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2.2.4</w:t>
            </w:r>
            <w:r>
              <w:rPr>
                <w:rFonts w:hint="default"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2</w:t>
            </w:r>
            <w:r>
              <w:rPr>
                <w:rFonts w:hint="default" w:ascii="Times New Roman" w:hAnsi="Times New Roman" w:eastAsia="仿宋_GB2312" w:cs="Times New Roman"/>
                <w:color w:val="auto"/>
                <w:sz w:val="24"/>
                <w:highlight w:val="none"/>
                <w:lang w:eastAsia="zh-CN"/>
              </w:rPr>
              <w:t>）</w:t>
            </w:r>
          </w:p>
        </w:tc>
        <w:tc>
          <w:tcPr>
            <w:tcW w:w="1635" w:type="dxa"/>
            <w:noWrap w:val="0"/>
            <w:vAlign w:val="center"/>
          </w:tcPr>
          <w:p w14:paraId="1C9B25C2">
            <w:pPr>
              <w:spacing w:line="380" w:lineRule="atLeast"/>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服务方案</w:t>
            </w:r>
          </w:p>
        </w:tc>
        <w:tc>
          <w:tcPr>
            <w:tcW w:w="1005" w:type="dxa"/>
            <w:noWrap w:val="0"/>
            <w:vAlign w:val="center"/>
          </w:tcPr>
          <w:p w14:paraId="27E08F81">
            <w:pPr>
              <w:spacing w:line="380" w:lineRule="atLeast"/>
              <w:jc w:val="both"/>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u w:val="single"/>
                <w:lang w:val="en-US" w:eastAsia="zh-CN"/>
              </w:rPr>
              <w:t>20</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分</w:t>
            </w:r>
          </w:p>
        </w:tc>
        <w:tc>
          <w:tcPr>
            <w:tcW w:w="5404" w:type="dxa"/>
            <w:gridSpan w:val="3"/>
            <w:noWrap w:val="0"/>
            <w:vAlign w:val="center"/>
          </w:tcPr>
          <w:p w14:paraId="039B0971">
            <w:pPr>
              <w:pStyle w:val="2"/>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1、供货方案：响应人需针对报价清单的家具，提供款式方案（照片）；编制详细的产品供货管理、运输计划管理、交货期保障措施及人力安排、应急保障措施等方案，基本满足要求得基本分6分，从方案的全面性、合理性，以及是否充分考虑项目需求等方面进行综合评价加分0-4分。</w:t>
            </w:r>
          </w:p>
          <w:p w14:paraId="32A436B5">
            <w:pPr>
              <w:pStyle w:val="2"/>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2、售后服务：响应人提供针对本项目的售后服务方案，方案应包括但不限于：售后服务内容、售后服务站点（如有）的详细地址及有效联系方式、服务人员、响应时间、维修解决时间、问题的解决质量及验收标准、备品备件清单及价格、本地化服务能力等。基本满足要求得基本分6分，从售后服务方案的完整性、合理可行性及保障力度等进行综合评价加分，0-4分。</w:t>
            </w:r>
          </w:p>
          <w:p w14:paraId="5EB12A44">
            <w:pPr>
              <w:pStyle w:val="2"/>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本项满分20分，未提供的不得分。</w:t>
            </w:r>
          </w:p>
        </w:tc>
      </w:tr>
      <w:tr w14:paraId="77E5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9" w:hRule="atLeast"/>
          <w:jc w:val="center"/>
        </w:trPr>
        <w:tc>
          <w:tcPr>
            <w:tcW w:w="1160" w:type="dxa"/>
            <w:noWrap w:val="0"/>
            <w:vAlign w:val="center"/>
          </w:tcPr>
          <w:p w14:paraId="3C29D572">
            <w:pPr>
              <w:spacing w:line="38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2.2.4（</w:t>
            </w:r>
            <w:r>
              <w:rPr>
                <w:rFonts w:hint="eastAsia" w:ascii="Times New Roman" w:hAnsi="Times New Roman"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rPr>
              <w:t>）</w:t>
            </w:r>
          </w:p>
        </w:tc>
        <w:tc>
          <w:tcPr>
            <w:tcW w:w="1635" w:type="dxa"/>
            <w:noWrap w:val="0"/>
            <w:vAlign w:val="center"/>
          </w:tcPr>
          <w:p w14:paraId="71AAB298">
            <w:pPr>
              <w:spacing w:line="38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评审价</w:t>
            </w:r>
          </w:p>
        </w:tc>
        <w:tc>
          <w:tcPr>
            <w:tcW w:w="1005" w:type="dxa"/>
            <w:noWrap w:val="0"/>
            <w:vAlign w:val="center"/>
          </w:tcPr>
          <w:p w14:paraId="74471AC2">
            <w:pPr>
              <w:spacing w:line="380" w:lineRule="atLeast"/>
              <w:jc w:val="both"/>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u w:val="single"/>
                <w:lang w:val="en-US" w:eastAsia="zh-CN"/>
              </w:rPr>
              <w:t>70</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分</w:t>
            </w:r>
          </w:p>
        </w:tc>
        <w:tc>
          <w:tcPr>
            <w:tcW w:w="5404" w:type="dxa"/>
            <w:gridSpan w:val="3"/>
            <w:noWrap w:val="0"/>
            <w:vAlign w:val="center"/>
          </w:tcPr>
          <w:p w14:paraId="133D76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评审价得分计算公式示例：</w:t>
            </w:r>
          </w:p>
          <w:p w14:paraId="56A5F9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（1）如果供应商的评审价&gt;评审基准价，则评审价得分＝F－偏差率×100× E</w:t>
            </w:r>
            <w:r>
              <w:rPr>
                <w:rFonts w:hint="default" w:ascii="Times New Roman" w:hAnsi="Times New Roman" w:eastAsia="仿宋_GB2312" w:cs="Times New Roman"/>
                <w:color w:val="auto"/>
                <w:sz w:val="24"/>
                <w:highlight w:val="none"/>
                <w:vertAlign w:val="subscript"/>
              </w:rPr>
              <w:t>1</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E1=</w:t>
            </w:r>
            <w:r>
              <w:rPr>
                <w:rFonts w:hint="eastAsia" w:ascii="Times New Roman" w:hAnsi="Times New Roman" w:eastAsia="仿宋_GB2312" w:cs="Times New Roman"/>
                <w:color w:val="auto"/>
                <w:sz w:val="24"/>
                <w:highlight w:val="none"/>
                <w:lang w:val="en-US" w:eastAsia="zh-CN"/>
              </w:rPr>
              <w:t>1</w:t>
            </w:r>
            <w:r>
              <w:rPr>
                <w:rFonts w:hint="default" w:ascii="Times New Roman" w:hAnsi="Times New Roman" w:eastAsia="仿宋_GB2312" w:cs="Times New Roman"/>
                <w:color w:val="auto"/>
                <w:sz w:val="24"/>
                <w:highlight w:val="none"/>
                <w:lang w:eastAsia="zh-CN"/>
              </w:rPr>
              <w:t>；</w:t>
            </w:r>
          </w:p>
          <w:p w14:paraId="1FE9BE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（2）如果供应商的评审价≤评审基准价，则评审价得分＝F＋偏差率× 100× E2</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val="en-US" w:eastAsia="zh-CN"/>
              </w:rPr>
              <w:t>E2=</w:t>
            </w:r>
            <w:r>
              <w:rPr>
                <w:rFonts w:hint="eastAsia" w:ascii="Times New Roman" w:hAnsi="Times New Roman" w:eastAsia="仿宋_GB2312" w:cs="Times New Roman"/>
                <w:color w:val="auto"/>
                <w:sz w:val="24"/>
                <w:highlight w:val="none"/>
                <w:lang w:val="en-US" w:eastAsia="zh-CN"/>
              </w:rPr>
              <w:t>0.5</w:t>
            </w:r>
            <w:r>
              <w:rPr>
                <w:rFonts w:hint="default" w:ascii="Times New Roman" w:hAnsi="Times New Roman" w:eastAsia="仿宋_GB2312" w:cs="Times New Roman"/>
                <w:color w:val="auto"/>
                <w:sz w:val="24"/>
                <w:highlight w:val="none"/>
              </w:rPr>
              <w:t>。</w:t>
            </w:r>
          </w:p>
          <w:p w14:paraId="01661F2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其中：F是评审价的权重分值，E</w:t>
            </w:r>
            <w:r>
              <w:rPr>
                <w:rFonts w:hint="default" w:ascii="Times New Roman" w:hAnsi="Times New Roman" w:eastAsia="仿宋_GB2312" w:cs="Times New Roman"/>
                <w:color w:val="auto"/>
                <w:sz w:val="24"/>
                <w:highlight w:val="none"/>
                <w:vertAlign w:val="subscript"/>
              </w:rPr>
              <w:t>1</w:t>
            </w:r>
            <w:r>
              <w:rPr>
                <w:rFonts w:hint="default" w:ascii="Times New Roman" w:hAnsi="Times New Roman" w:eastAsia="仿宋_GB2312" w:cs="Times New Roman"/>
                <w:color w:val="auto"/>
                <w:sz w:val="24"/>
                <w:highlight w:val="none"/>
              </w:rPr>
              <w:t>是评审价每高于评审基准价一个百分点的扣分值，E</w:t>
            </w:r>
            <w:r>
              <w:rPr>
                <w:rFonts w:hint="default" w:ascii="Times New Roman" w:hAnsi="Times New Roman" w:eastAsia="仿宋_GB2312" w:cs="Times New Roman"/>
                <w:color w:val="auto"/>
                <w:sz w:val="24"/>
                <w:highlight w:val="none"/>
                <w:vertAlign w:val="subscript"/>
              </w:rPr>
              <w:t>2</w:t>
            </w:r>
            <w:r>
              <w:rPr>
                <w:rFonts w:hint="default" w:ascii="Times New Roman" w:hAnsi="Times New Roman" w:eastAsia="仿宋_GB2312" w:cs="Times New Roman"/>
                <w:color w:val="auto"/>
                <w:sz w:val="24"/>
                <w:highlight w:val="none"/>
              </w:rPr>
              <w:t>是评审价每低于评审基准价一个百分点的扣分值；采购人可依据询比项目具体特点和实际需要设置E</w:t>
            </w:r>
            <w:r>
              <w:rPr>
                <w:rFonts w:hint="default" w:ascii="Times New Roman" w:hAnsi="Times New Roman" w:eastAsia="仿宋_GB2312" w:cs="Times New Roman"/>
                <w:color w:val="auto"/>
                <w:sz w:val="24"/>
                <w:highlight w:val="none"/>
                <w:vertAlign w:val="subscript"/>
              </w:rPr>
              <w:t>1</w:t>
            </w:r>
            <w:r>
              <w:rPr>
                <w:rFonts w:hint="default" w:ascii="Times New Roman" w:hAnsi="Times New Roman" w:eastAsia="仿宋_GB2312" w:cs="Times New Roman"/>
                <w:color w:val="auto"/>
                <w:sz w:val="24"/>
                <w:highlight w:val="none"/>
              </w:rPr>
              <w:t>、E</w:t>
            </w:r>
            <w:r>
              <w:rPr>
                <w:rFonts w:hint="default" w:ascii="Times New Roman" w:hAnsi="Times New Roman" w:eastAsia="仿宋_GB2312" w:cs="Times New Roman"/>
                <w:color w:val="auto"/>
                <w:sz w:val="24"/>
                <w:highlight w:val="none"/>
                <w:vertAlign w:val="subscript"/>
              </w:rPr>
              <w:t>2</w:t>
            </w:r>
            <w:r>
              <w:rPr>
                <w:rFonts w:hint="default" w:ascii="Times New Roman" w:hAnsi="Times New Roman" w:eastAsia="仿宋_GB2312" w:cs="Times New Roman"/>
                <w:color w:val="auto"/>
                <w:sz w:val="24"/>
                <w:highlight w:val="none"/>
              </w:rPr>
              <w:t>，但E</w:t>
            </w:r>
            <w:r>
              <w:rPr>
                <w:rFonts w:hint="default" w:ascii="Times New Roman" w:hAnsi="Times New Roman" w:eastAsia="仿宋_GB2312" w:cs="Times New Roman"/>
                <w:color w:val="auto"/>
                <w:sz w:val="24"/>
                <w:highlight w:val="none"/>
                <w:vertAlign w:val="subscript"/>
              </w:rPr>
              <w:t>1</w:t>
            </w:r>
            <w:r>
              <w:rPr>
                <w:rFonts w:hint="default" w:ascii="Times New Roman" w:hAnsi="Times New Roman" w:eastAsia="仿宋_GB2312" w:cs="Times New Roman"/>
                <w:color w:val="auto"/>
                <w:sz w:val="24"/>
                <w:highlight w:val="none"/>
              </w:rPr>
              <w:t>应大于E</w:t>
            </w:r>
            <w:r>
              <w:rPr>
                <w:rFonts w:hint="default" w:ascii="Times New Roman" w:hAnsi="Times New Roman" w:eastAsia="仿宋_GB2312" w:cs="Times New Roman"/>
                <w:color w:val="auto"/>
                <w:sz w:val="24"/>
                <w:highlight w:val="none"/>
                <w:vertAlign w:val="subscript"/>
              </w:rPr>
              <w:t>2</w:t>
            </w:r>
            <w:r>
              <w:rPr>
                <w:rFonts w:hint="default" w:ascii="Times New Roman" w:hAnsi="Times New Roman" w:eastAsia="仿宋_GB2312" w:cs="Times New Roman"/>
                <w:color w:val="auto"/>
                <w:sz w:val="24"/>
                <w:highlight w:val="none"/>
              </w:rPr>
              <w:t>。评审价得分最低为0分。</w:t>
            </w:r>
          </w:p>
        </w:tc>
      </w:tr>
      <w:tr w14:paraId="31E3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4" w:type="dxa"/>
            <w:gridSpan w:val="6"/>
            <w:noWrap w:val="0"/>
            <w:vAlign w:val="center"/>
          </w:tcPr>
          <w:p w14:paraId="38FC2D28">
            <w:pPr>
              <w:spacing w:line="360" w:lineRule="atLeas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需要补充的其他内容：</w:t>
            </w:r>
          </w:p>
          <w:p w14:paraId="0A972E3A">
            <w:pPr>
              <w:spacing w:line="360" w:lineRule="atLeas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w:t>
            </w:r>
          </w:p>
        </w:tc>
      </w:tr>
    </w:tbl>
    <w:p w14:paraId="2EF1A44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color w:val="auto"/>
          <w:sz w:val="29"/>
          <w:szCs w:val="29"/>
          <w:highlight w:val="none"/>
        </w:rPr>
        <w:br w:type="page"/>
      </w:r>
      <w:bookmarkStart w:id="182" w:name="_Toc30364"/>
      <w:r>
        <w:rPr>
          <w:rFonts w:ascii="Times New Roman" w:hAnsi="Times New Roman" w:eastAsia="黑体" w:cs="Times New Roman"/>
          <w:bCs/>
          <w:color w:val="auto"/>
          <w:sz w:val="24"/>
          <w:szCs w:val="32"/>
          <w:highlight w:val="none"/>
        </w:rPr>
        <w:t>1. 评审方法</w:t>
      </w:r>
      <w:bookmarkEnd w:id="182"/>
    </w:p>
    <w:p w14:paraId="4271E45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本次评审采用综合评分法。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对满足询比文件实质性要求的响应文件按照本章第2.2款的规定的评分标准进行打分，按照得分由高到低依次推荐成交候选人。如得分相同的，按照评审办法前附表中的规定确定成交候选人顺序。</w:t>
      </w:r>
    </w:p>
    <w:p w14:paraId="6F4F8892">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83" w:name="_Toc2806"/>
      <w:r>
        <w:rPr>
          <w:rFonts w:ascii="Times New Roman" w:hAnsi="Times New Roman" w:eastAsia="黑体" w:cs="Times New Roman"/>
          <w:bCs/>
          <w:color w:val="auto"/>
          <w:sz w:val="24"/>
          <w:szCs w:val="32"/>
          <w:highlight w:val="none"/>
        </w:rPr>
        <w:t>2. 评审标准</w:t>
      </w:r>
      <w:bookmarkEnd w:id="183"/>
    </w:p>
    <w:p w14:paraId="474D2D13">
      <w:pPr>
        <w:keepNext/>
        <w:keepLines/>
        <w:spacing w:before="120" w:after="120"/>
        <w:outlineLvl w:val="2"/>
        <w:rPr>
          <w:rFonts w:ascii="Times New Roman" w:hAnsi="Times New Roman" w:eastAsia="黑体" w:cs="Times New Roman"/>
          <w:bCs/>
          <w:color w:val="auto"/>
          <w:sz w:val="24"/>
          <w:szCs w:val="32"/>
          <w:highlight w:val="none"/>
        </w:rPr>
      </w:pPr>
      <w:bookmarkStart w:id="184" w:name="_Toc5483"/>
      <w:r>
        <w:rPr>
          <w:rFonts w:ascii="Times New Roman" w:hAnsi="Times New Roman" w:eastAsia="黑体" w:cs="Times New Roman"/>
          <w:bCs/>
          <w:color w:val="auto"/>
          <w:sz w:val="24"/>
          <w:szCs w:val="32"/>
          <w:highlight w:val="none"/>
        </w:rPr>
        <w:t>2.1 初步评审标准</w:t>
      </w:r>
      <w:bookmarkEnd w:id="184"/>
    </w:p>
    <w:p w14:paraId="217C258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2.1.1 形式评审标准：见评审办法前附表。</w:t>
      </w:r>
    </w:p>
    <w:p w14:paraId="477C5A5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2.1.2 资格评审标准：见评审办法前附表。</w:t>
      </w:r>
    </w:p>
    <w:p w14:paraId="243F2EE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2.1.3 响应性评审标准：见评审办法前附表。</w:t>
      </w:r>
    </w:p>
    <w:p w14:paraId="0E71A219">
      <w:pPr>
        <w:keepNext/>
        <w:keepLines/>
        <w:spacing w:before="120" w:after="120"/>
        <w:outlineLvl w:val="2"/>
        <w:rPr>
          <w:rFonts w:ascii="Times New Roman" w:hAnsi="Times New Roman" w:eastAsia="黑体" w:cs="Times New Roman"/>
          <w:bCs/>
          <w:color w:val="auto"/>
          <w:sz w:val="24"/>
          <w:szCs w:val="32"/>
          <w:highlight w:val="none"/>
        </w:rPr>
      </w:pPr>
      <w:bookmarkStart w:id="185" w:name="_Toc31537"/>
      <w:r>
        <w:rPr>
          <w:rFonts w:ascii="Times New Roman" w:hAnsi="Times New Roman" w:eastAsia="黑体" w:cs="Times New Roman"/>
          <w:bCs/>
          <w:color w:val="auto"/>
          <w:sz w:val="24"/>
          <w:szCs w:val="32"/>
          <w:highlight w:val="none"/>
        </w:rPr>
        <w:t>2.2 分值构成与评审标准</w:t>
      </w:r>
      <w:bookmarkEnd w:id="185"/>
    </w:p>
    <w:p w14:paraId="4EC17B1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2.2.1分值构成：</w:t>
      </w:r>
    </w:p>
    <w:p w14:paraId="26940D1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项目业绩</w:t>
      </w:r>
      <w:r>
        <w:rPr>
          <w:rFonts w:ascii="Times New Roman" w:hAnsi="Times New Roman" w:cs="Times New Roman"/>
          <w:color w:val="auto"/>
          <w:highlight w:val="none"/>
        </w:rPr>
        <w:t>：见评审办法前附表；</w:t>
      </w:r>
    </w:p>
    <w:p w14:paraId="6895667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服务</w:t>
      </w:r>
      <w:r>
        <w:rPr>
          <w:rFonts w:hint="eastAsia" w:ascii="Times New Roman" w:hAnsi="Times New Roman" w:cs="Times New Roman"/>
          <w:color w:val="auto"/>
          <w:highlight w:val="none"/>
        </w:rPr>
        <w:t>方案</w:t>
      </w:r>
      <w:r>
        <w:rPr>
          <w:rFonts w:ascii="Times New Roman" w:hAnsi="Times New Roman" w:cs="Times New Roman"/>
          <w:color w:val="auto"/>
          <w:highlight w:val="none"/>
        </w:rPr>
        <w:t>：见评审办法前附表；</w:t>
      </w:r>
    </w:p>
    <w:p w14:paraId="18D0FA5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w:t>
      </w:r>
      <w:r>
        <w:rPr>
          <w:rFonts w:hint="eastAsia" w:ascii="Times New Roman" w:hAnsi="Times New Roman" w:cs="Times New Roman"/>
          <w:color w:val="auto"/>
          <w:highlight w:val="none"/>
        </w:rPr>
        <w:t>评审价</w:t>
      </w:r>
      <w:r>
        <w:rPr>
          <w:rFonts w:ascii="Times New Roman" w:hAnsi="Times New Roman" w:cs="Times New Roman"/>
          <w:color w:val="auto"/>
          <w:highlight w:val="none"/>
        </w:rPr>
        <w:t>：见评审办法前附表。</w:t>
      </w:r>
    </w:p>
    <w:p w14:paraId="12F52E0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2.2.2 评审基准价计算</w:t>
      </w:r>
    </w:p>
    <w:p w14:paraId="2C86195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评审基准价计算方法：见评审办法前附表。</w:t>
      </w:r>
    </w:p>
    <w:p w14:paraId="1E46377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2.2.3 评审价的偏差率计算</w:t>
      </w:r>
    </w:p>
    <w:p w14:paraId="0425407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评审价的偏差率计算公式：见评审办法前附表。</w:t>
      </w:r>
    </w:p>
    <w:p w14:paraId="799523D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2.2.4评分标准：</w:t>
      </w:r>
    </w:p>
    <w:p w14:paraId="026D9AAB">
      <w:pPr>
        <w:spacing w:line="440" w:lineRule="exact"/>
        <w:ind w:firstLine="420"/>
        <w:rPr>
          <w:rFonts w:hint="eastAsia" w:ascii="Times New Roman" w:hAnsi="Times New Roman" w:cs="Times New Roman" w:eastAsiaTheme="minorEastAsia"/>
          <w:color w:val="auto"/>
          <w:highlight w:val="none"/>
          <w:lang w:eastAsia="zh-CN"/>
        </w:rPr>
      </w:pP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项目业绩</w:t>
      </w:r>
      <w:r>
        <w:rPr>
          <w:rFonts w:ascii="Times New Roman" w:hAnsi="Times New Roman" w:cs="Times New Roman"/>
          <w:color w:val="auto"/>
          <w:highlight w:val="none"/>
        </w:rPr>
        <w:t>评分标准：见评审办法前附表；</w:t>
      </w:r>
    </w:p>
    <w:p w14:paraId="06F13A2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服务</w:t>
      </w:r>
      <w:r>
        <w:rPr>
          <w:rFonts w:hint="eastAsia" w:ascii="Times New Roman" w:hAnsi="Times New Roman" w:cs="Times New Roman"/>
          <w:color w:val="auto"/>
          <w:highlight w:val="none"/>
        </w:rPr>
        <w:t>方案</w:t>
      </w:r>
      <w:r>
        <w:rPr>
          <w:rFonts w:ascii="Times New Roman" w:hAnsi="Times New Roman" w:cs="Times New Roman"/>
          <w:color w:val="auto"/>
          <w:highlight w:val="none"/>
        </w:rPr>
        <w:t>评分标准：见评审办法前附表；</w:t>
      </w:r>
    </w:p>
    <w:p w14:paraId="48CCF6F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w:t>
      </w:r>
      <w:r>
        <w:rPr>
          <w:rFonts w:hint="eastAsia" w:ascii="Times New Roman" w:hAnsi="Times New Roman" w:cs="Times New Roman"/>
          <w:color w:val="auto"/>
          <w:highlight w:val="none"/>
        </w:rPr>
        <w:t>评审价</w:t>
      </w:r>
      <w:r>
        <w:rPr>
          <w:rFonts w:ascii="Times New Roman" w:hAnsi="Times New Roman" w:cs="Times New Roman"/>
          <w:color w:val="auto"/>
          <w:highlight w:val="none"/>
        </w:rPr>
        <w:t>评分标准：见评审办法前附表。</w:t>
      </w:r>
    </w:p>
    <w:p w14:paraId="53113066">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86" w:name="_Toc26461"/>
      <w:r>
        <w:rPr>
          <w:rFonts w:ascii="Times New Roman" w:hAnsi="Times New Roman" w:eastAsia="黑体" w:cs="Times New Roman"/>
          <w:bCs/>
          <w:color w:val="auto"/>
          <w:sz w:val="24"/>
          <w:szCs w:val="32"/>
          <w:highlight w:val="none"/>
        </w:rPr>
        <w:t>3. 评审程序</w:t>
      </w:r>
      <w:bookmarkEnd w:id="186"/>
    </w:p>
    <w:p w14:paraId="2FEBC14D">
      <w:pPr>
        <w:keepNext/>
        <w:keepLines/>
        <w:spacing w:before="120" w:after="120"/>
        <w:outlineLvl w:val="2"/>
        <w:rPr>
          <w:rFonts w:ascii="Times New Roman" w:hAnsi="Times New Roman" w:eastAsia="黑体" w:cs="Times New Roman"/>
          <w:bCs/>
          <w:color w:val="auto"/>
          <w:sz w:val="24"/>
          <w:szCs w:val="32"/>
          <w:highlight w:val="none"/>
        </w:rPr>
      </w:pPr>
      <w:bookmarkStart w:id="187" w:name="_Toc913"/>
      <w:r>
        <w:rPr>
          <w:rFonts w:ascii="Times New Roman" w:hAnsi="Times New Roman" w:eastAsia="黑体" w:cs="Times New Roman"/>
          <w:bCs/>
          <w:color w:val="auto"/>
          <w:sz w:val="24"/>
          <w:szCs w:val="32"/>
          <w:highlight w:val="none"/>
        </w:rPr>
        <w:t>3.1 初步评审</w:t>
      </w:r>
      <w:bookmarkEnd w:id="187"/>
    </w:p>
    <w:p w14:paraId="5777363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3.1.1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依据本章第2.1.1项、第2.1.2项、第2.1.3项规定的标准对响应文件进行评审。有一项不符合评审标准的，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D49C3D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3.1.</w:t>
      </w:r>
      <w:r>
        <w:rPr>
          <w:rFonts w:hint="eastAsia" w:ascii="Times New Roman" w:hAnsi="Times New Roman" w:cs="Times New Roman"/>
          <w:color w:val="auto"/>
          <w:highlight w:val="none"/>
        </w:rPr>
        <w:t xml:space="preserve">2 </w:t>
      </w:r>
      <w:r>
        <w:rPr>
          <w:rFonts w:ascii="Times New Roman" w:hAnsi="Times New Roman" w:cs="Times New Roman"/>
          <w:color w:val="auto"/>
          <w:highlight w:val="none"/>
        </w:rPr>
        <w:t>响应文件中填报的报价、</w:t>
      </w:r>
      <w:r>
        <w:rPr>
          <w:rFonts w:hint="eastAsia" w:ascii="Times New Roman" w:hAnsi="Times New Roman" w:cs="Times New Roman"/>
          <w:color w:val="auto"/>
          <w:highlight w:val="none"/>
        </w:rPr>
        <w:t>服务期</w:t>
      </w:r>
      <w:r>
        <w:rPr>
          <w:rFonts w:ascii="Times New Roman" w:hAnsi="Times New Roman" w:cs="Times New Roman"/>
          <w:color w:val="auto"/>
          <w:highlight w:val="none"/>
        </w:rPr>
        <w:t>、质量标准、安全目标前后不一致</w:t>
      </w:r>
      <w:r>
        <w:rPr>
          <w:rFonts w:hint="eastAsia" w:ascii="Times New Roman" w:hAnsi="Times New Roman" w:cs="Times New Roman"/>
          <w:color w:val="auto"/>
          <w:highlight w:val="none"/>
        </w:rPr>
        <w:t>，且报价函中填写的内容满足询比文件要求</w:t>
      </w:r>
      <w:r>
        <w:rPr>
          <w:rFonts w:ascii="Times New Roman" w:hAnsi="Times New Roman" w:cs="Times New Roman"/>
          <w:color w:val="auto"/>
          <w:highlight w:val="none"/>
        </w:rPr>
        <w:t>时，</w:t>
      </w:r>
      <w:r>
        <w:rPr>
          <w:rFonts w:hint="eastAsia" w:ascii="Times New Roman" w:hAnsi="Times New Roman" w:cs="Times New Roman"/>
          <w:color w:val="auto"/>
          <w:highlight w:val="none"/>
        </w:rPr>
        <w:t>按细微偏差处理，并</w:t>
      </w:r>
      <w:r>
        <w:rPr>
          <w:rFonts w:ascii="Times New Roman" w:hAnsi="Times New Roman" w:cs="Times New Roman"/>
          <w:color w:val="auto"/>
          <w:highlight w:val="none"/>
        </w:rPr>
        <w:t>以报价函填报的为准</w:t>
      </w:r>
      <w:r>
        <w:rPr>
          <w:rFonts w:hint="eastAsia" w:ascii="Times New Roman" w:hAnsi="Times New Roman" w:cs="Times New Roman"/>
          <w:color w:val="auto"/>
          <w:highlight w:val="none"/>
        </w:rPr>
        <w:t>。</w:t>
      </w:r>
    </w:p>
    <w:p w14:paraId="5550E2E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 xml:space="preserve">3.1.3 </w:t>
      </w:r>
      <w:r>
        <w:rPr>
          <w:rFonts w:ascii="Times New Roman" w:hAnsi="Times New Roman" w:cs="Times New Roman"/>
          <w:color w:val="auto"/>
          <w:highlight w:val="none"/>
        </w:rPr>
        <w:t>报价存在</w:t>
      </w:r>
      <w:r>
        <w:rPr>
          <w:rFonts w:hint="eastAsia" w:ascii="Times New Roman" w:hAnsi="Times New Roman" w:cs="Times New Roman"/>
          <w:color w:val="auto"/>
          <w:highlight w:val="none"/>
        </w:rPr>
        <w:t>以下</w:t>
      </w:r>
      <w:r>
        <w:rPr>
          <w:rFonts w:ascii="Times New Roman" w:hAnsi="Times New Roman" w:cs="Times New Roman"/>
          <w:color w:val="auto"/>
          <w:highlight w:val="none"/>
        </w:rPr>
        <w:t>细微偏差的，</w:t>
      </w:r>
      <w:r>
        <w:rPr>
          <w:rFonts w:hint="eastAsia" w:ascii="Times New Roman" w:hAnsi="Times New Roman" w:cs="Times New Roman"/>
          <w:color w:val="auto"/>
          <w:highlight w:val="none"/>
        </w:rPr>
        <w:t>评审小组按以下原则</w:t>
      </w:r>
      <w:r>
        <w:rPr>
          <w:rFonts w:ascii="Times New Roman" w:hAnsi="Times New Roman" w:cs="Times New Roman"/>
          <w:color w:val="auto"/>
          <w:highlight w:val="none"/>
        </w:rPr>
        <w:t>对报价进行处理，并要求供应商书面澄清确认，供应商拒不澄清确认的，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应当否决其报价。</w:t>
      </w:r>
    </w:p>
    <w:p w14:paraId="2FCACC6F">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（1）</w:t>
      </w:r>
      <w:r>
        <w:rPr>
          <w:rFonts w:ascii="Times New Roman" w:hAnsi="Times New Roman" w:cs="Times New Roman"/>
          <w:color w:val="auto"/>
          <w:highlight w:val="none"/>
        </w:rPr>
        <w:t>报价有算术错误的，评审小组按以下原则对报价进行修正，修正的价格经供应商书面确认后具有约束力。供应商不接受修正价格的，评审小组应否决其报价。</w:t>
      </w:r>
    </w:p>
    <w:p w14:paraId="7FBBBFA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①响应文件中的大写金额与小写金额不一致的，以大写金额为准；</w:t>
      </w:r>
    </w:p>
    <w:p w14:paraId="16597A0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②总价金额与依据单价计算出的结果不一致的，以单价金额为准修正总价，但单价金额小数点有明显错误的除外；</w:t>
      </w:r>
    </w:p>
    <w:p w14:paraId="1917CB0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③当单价与数量相乘不等于合价时，以单价计算为准，如果单价有明显的小数点位置差错，应以标出的合价为准，同时对单价予以修正；</w:t>
      </w:r>
    </w:p>
    <w:p w14:paraId="631ABB2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④当各子目的合价累计不等于总价时，应以各子目合价累计数为准，修正总价。</w:t>
      </w:r>
    </w:p>
    <w:p w14:paraId="7612FC37">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（2）报价</w:t>
      </w:r>
      <w:r>
        <w:rPr>
          <w:rFonts w:ascii="Times New Roman" w:hAnsi="Times New Roman" w:cs="Times New Roman"/>
          <w:color w:val="auto"/>
          <w:highlight w:val="none"/>
        </w:rPr>
        <w:t>清单中的报价有其他错误的，评审小组按以下原则对报价进行修正，修正的价格经供应商书面确认后具有约束力。供应商不接受修正价格的，评审小组应否决其报价。</w:t>
      </w:r>
    </w:p>
    <w:p w14:paraId="4ABF1D4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r>
        <w:rPr>
          <w:rFonts w:hint="eastAsia" w:ascii="Times New Roman" w:hAnsi="Times New Roman" w:cs="Times New Roman"/>
          <w:color w:val="auto"/>
          <w:highlight w:val="none"/>
          <w:lang w:eastAsia="zh-CN"/>
        </w:rPr>
        <w:t>；</w:t>
      </w:r>
    </w:p>
    <w:p w14:paraId="7DA6A2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②在采购人给定的清单中多报了某个子目的单价、合价或总额价，或所报单价、合价或总额价增加了报价范围，则从报价中扣除多报的子目报价或子目报价中增加了报价范围的部分报价</w:t>
      </w:r>
      <w:r>
        <w:rPr>
          <w:rFonts w:hint="eastAsia" w:ascii="Times New Roman" w:hAnsi="Times New Roman" w:cs="Times New Roman"/>
          <w:color w:val="auto"/>
          <w:highlight w:val="none"/>
          <w:lang w:eastAsia="zh-CN"/>
        </w:rPr>
        <w:t>；</w:t>
      </w:r>
    </w:p>
    <w:p w14:paraId="3CCAE7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③当单价与数量的乘积与合价（金额）虽然一致，但供应商修改了该子目的数量，则其合价按采购人给定的数量乘以供应商所报单价予以修正</w:t>
      </w:r>
      <w:r>
        <w:rPr>
          <w:rFonts w:hint="eastAsia" w:ascii="Times New Roman" w:hAnsi="Times New Roman" w:cs="Times New Roman"/>
          <w:color w:val="auto"/>
          <w:highlight w:val="none"/>
          <w:lang w:eastAsia="zh-CN"/>
        </w:rPr>
        <w:t>；</w:t>
      </w:r>
    </w:p>
    <w:p w14:paraId="41AD999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④当各子目的合价累计不等于总价时，应以各子目合价累计数为准，修正总价。</w:t>
      </w:r>
    </w:p>
    <w:p w14:paraId="07EF5F3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3.1.</w:t>
      </w:r>
      <w:r>
        <w:rPr>
          <w:rFonts w:hint="eastAsia" w:ascii="Times New Roman" w:hAnsi="Times New Roman" w:cs="Times New Roman"/>
          <w:color w:val="auto"/>
          <w:highlight w:val="none"/>
        </w:rPr>
        <w:t xml:space="preserve">4 </w:t>
      </w:r>
      <w:r>
        <w:rPr>
          <w:rFonts w:ascii="Times New Roman" w:hAnsi="Times New Roman" w:cs="Times New Roman"/>
          <w:color w:val="auto"/>
          <w:highlight w:val="none"/>
        </w:rPr>
        <w:t>修正后的最终报价若超过最高限价（如有），</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应否决其报价。</w:t>
      </w:r>
    </w:p>
    <w:p w14:paraId="4675F9BC">
      <w:pPr>
        <w:spacing w:line="440" w:lineRule="exact"/>
        <w:ind w:firstLine="420"/>
        <w:rPr>
          <w:color w:val="auto"/>
          <w:highlight w:val="none"/>
        </w:rPr>
      </w:pPr>
      <w:r>
        <w:rPr>
          <w:rFonts w:ascii="Times New Roman" w:hAnsi="Times New Roman" w:cs="Times New Roman"/>
          <w:color w:val="auto"/>
          <w:highlight w:val="none"/>
        </w:rPr>
        <w:t>3.1.</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w:t>
      </w:r>
      <w:r>
        <w:rPr>
          <w:rFonts w:hint="eastAsia" w:ascii="Times New Roman" w:hAnsi="Times New Roman" w:cs="Times New Roman"/>
          <w:color w:val="auto"/>
          <w:szCs w:val="21"/>
          <w:highlight w:val="none"/>
        </w:rPr>
        <w:t>修正后的</w:t>
      </w:r>
      <w:r>
        <w:rPr>
          <w:rFonts w:ascii="Times New Roman" w:hAnsi="Times New Roman" w:cs="Times New Roman"/>
          <w:color w:val="auto"/>
          <w:highlight w:val="none"/>
        </w:rPr>
        <w:t>最终报价参与评审价得分的计算</w:t>
      </w:r>
      <w:r>
        <w:rPr>
          <w:rFonts w:hint="eastAsia" w:ascii="Times New Roman" w:hAnsi="Times New Roman" w:cs="Times New Roman"/>
          <w:color w:val="auto"/>
          <w:highlight w:val="none"/>
        </w:rPr>
        <w:t>，并作为签订合同的依据</w:t>
      </w:r>
      <w:r>
        <w:rPr>
          <w:rFonts w:ascii="Times New Roman" w:hAnsi="Times New Roman" w:cs="Times New Roman"/>
          <w:color w:val="auto"/>
          <w:highlight w:val="none"/>
        </w:rPr>
        <w:t>。</w:t>
      </w:r>
    </w:p>
    <w:p w14:paraId="5F7DDD94">
      <w:pPr>
        <w:keepNext/>
        <w:keepLines/>
        <w:spacing w:before="120" w:after="120"/>
        <w:outlineLvl w:val="2"/>
        <w:rPr>
          <w:rFonts w:ascii="Times New Roman" w:hAnsi="Times New Roman" w:cs="Times New Roman"/>
          <w:color w:val="auto"/>
          <w:highlight w:val="none"/>
        </w:rPr>
      </w:pPr>
      <w:bookmarkStart w:id="188" w:name="_Toc8503"/>
      <w:r>
        <w:rPr>
          <w:rFonts w:ascii="Times New Roman" w:hAnsi="Times New Roman" w:eastAsia="黑体" w:cs="Times New Roman"/>
          <w:bCs/>
          <w:color w:val="auto"/>
          <w:sz w:val="24"/>
          <w:szCs w:val="32"/>
          <w:highlight w:val="none"/>
        </w:rPr>
        <w:t>3.2 详细评审</w:t>
      </w:r>
      <w:bookmarkEnd w:id="188"/>
    </w:p>
    <w:p w14:paraId="17504E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3.2.1 </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按本章第2.2款规定的量化因素和分值进行打分，并计算出综合评估得分。</w:t>
      </w:r>
    </w:p>
    <w:p w14:paraId="12431BC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（1）按本章第2.2.4(1)目规定的评审因素和分值对</w:t>
      </w:r>
      <w:r>
        <w:rPr>
          <w:rFonts w:hint="eastAsia" w:ascii="Times New Roman" w:hAnsi="Times New Roman" w:cs="Times New Roman"/>
          <w:color w:val="auto"/>
          <w:highlight w:val="none"/>
          <w:lang w:val="en-US" w:eastAsia="zh-CN"/>
        </w:rPr>
        <w:t>项目业绩</w:t>
      </w:r>
      <w:r>
        <w:rPr>
          <w:rFonts w:ascii="Times New Roman" w:hAnsi="Times New Roman" w:cs="Times New Roman"/>
          <w:color w:val="auto"/>
          <w:highlight w:val="none"/>
        </w:rPr>
        <w:t>计算出得分</w:t>
      </w:r>
      <w:r>
        <w:rPr>
          <w:rFonts w:hint="eastAsia" w:ascii="Times New Roman" w:hAnsi="Times New Roman" w:cs="Times New Roman"/>
          <w:color w:val="auto"/>
          <w:highlight w:val="none"/>
        </w:rPr>
        <w:t>I</w:t>
      </w:r>
      <w:r>
        <w:rPr>
          <w:rFonts w:ascii="Times New Roman" w:hAnsi="Times New Roman" w:cs="Times New Roman"/>
          <w:color w:val="auto"/>
          <w:highlight w:val="none"/>
        </w:rPr>
        <w:t>；</w:t>
      </w:r>
    </w:p>
    <w:p w14:paraId="7F9CE89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（2）按本章第2.2.4(2)目规定的评审因素和分值对</w:t>
      </w:r>
      <w:r>
        <w:rPr>
          <w:rFonts w:hint="eastAsia" w:ascii="Times New Roman" w:hAnsi="Times New Roman" w:cs="Times New Roman"/>
          <w:color w:val="auto"/>
          <w:highlight w:val="none"/>
          <w:lang w:val="en-US" w:eastAsia="zh-CN"/>
        </w:rPr>
        <w:t>服务</w:t>
      </w:r>
      <w:r>
        <w:rPr>
          <w:rFonts w:hint="eastAsia" w:ascii="Times New Roman" w:hAnsi="Times New Roman" w:cs="Times New Roman"/>
          <w:color w:val="auto"/>
          <w:highlight w:val="none"/>
        </w:rPr>
        <w:t>方案</w:t>
      </w:r>
      <w:r>
        <w:rPr>
          <w:rFonts w:ascii="Times New Roman" w:hAnsi="Times New Roman" w:cs="Times New Roman"/>
          <w:color w:val="auto"/>
          <w:highlight w:val="none"/>
        </w:rPr>
        <w:t>计算出得分</w:t>
      </w:r>
      <w:r>
        <w:rPr>
          <w:rFonts w:hint="eastAsia" w:ascii="Times New Roman" w:hAnsi="Times New Roman" w:cs="Times New Roman"/>
          <w:color w:val="auto"/>
          <w:highlight w:val="none"/>
        </w:rPr>
        <w:t>II</w:t>
      </w:r>
      <w:r>
        <w:rPr>
          <w:rFonts w:ascii="Times New Roman" w:hAnsi="Times New Roman" w:cs="Times New Roman"/>
          <w:color w:val="auto"/>
          <w:highlight w:val="none"/>
        </w:rPr>
        <w:t>；</w:t>
      </w:r>
    </w:p>
    <w:p w14:paraId="3B168C9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（3）按本章第2.2.4(3)目规定的评审因素和分值对</w:t>
      </w:r>
      <w:r>
        <w:rPr>
          <w:rFonts w:hint="eastAsia" w:ascii="Times New Roman" w:hAnsi="Times New Roman" w:cs="Times New Roman"/>
          <w:color w:val="auto"/>
          <w:highlight w:val="none"/>
        </w:rPr>
        <w:t>评审价</w:t>
      </w:r>
      <w:r>
        <w:rPr>
          <w:rFonts w:ascii="Times New Roman" w:hAnsi="Times New Roman" w:cs="Times New Roman"/>
          <w:color w:val="auto"/>
          <w:highlight w:val="none"/>
        </w:rPr>
        <w:t>计算出得分</w:t>
      </w:r>
      <w:r>
        <w:rPr>
          <w:rFonts w:hint="eastAsia" w:ascii="Times New Roman" w:hAnsi="Times New Roman" w:cs="Times New Roman"/>
          <w:color w:val="auto"/>
          <w:highlight w:val="none"/>
        </w:rPr>
        <w:t>III</w:t>
      </w:r>
      <w:r>
        <w:rPr>
          <w:rFonts w:ascii="Times New Roman" w:hAnsi="Times New Roman" w:cs="Times New Roman"/>
          <w:color w:val="auto"/>
          <w:highlight w:val="none"/>
        </w:rPr>
        <w:t>；</w:t>
      </w:r>
    </w:p>
    <w:p w14:paraId="3E4B84F9">
      <w:pPr>
        <w:spacing w:line="4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3.2.2 评分分值计算保留小数点后两位，小数点后第三位“四舍五入”。</w:t>
      </w:r>
    </w:p>
    <w:p w14:paraId="3745D8BA">
      <w:pPr>
        <w:spacing w:line="4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 xml:space="preserve">3.2.3 </w:t>
      </w:r>
      <w:r>
        <w:rPr>
          <w:rFonts w:hint="eastAsia" w:ascii="Times New Roman" w:hAnsi="Times New Roman" w:cs="Times New Roman"/>
          <w:color w:val="auto"/>
          <w:highlight w:val="none"/>
        </w:rPr>
        <w:t>评审小组成员对</w:t>
      </w:r>
      <w:r>
        <w:rPr>
          <w:rFonts w:ascii="Times New Roman" w:hAnsi="Times New Roman" w:cs="Times New Roman"/>
          <w:color w:val="auto"/>
          <w:highlight w:val="none"/>
        </w:rPr>
        <w:t>供应商</w:t>
      </w:r>
      <w:r>
        <w:rPr>
          <w:rFonts w:hint="eastAsia" w:ascii="Times New Roman" w:hAnsi="Times New Roman" w:cs="Times New Roman"/>
          <w:color w:val="auto"/>
          <w:highlight w:val="none"/>
        </w:rPr>
        <w:t>综合评分=I</w:t>
      </w:r>
      <w:r>
        <w:rPr>
          <w:rFonts w:ascii="Times New Roman" w:hAnsi="Times New Roman" w:cs="Times New Roman"/>
          <w:color w:val="auto"/>
          <w:highlight w:val="none"/>
        </w:rPr>
        <w:t>+</w:t>
      </w:r>
      <w:r>
        <w:rPr>
          <w:rFonts w:hint="eastAsia" w:ascii="Times New Roman" w:hAnsi="Times New Roman" w:cs="Times New Roman"/>
          <w:color w:val="auto"/>
          <w:highlight w:val="none"/>
        </w:rPr>
        <w:t>II</w:t>
      </w:r>
      <w:r>
        <w:rPr>
          <w:rFonts w:ascii="Times New Roman" w:hAnsi="Times New Roman" w:cs="Times New Roman"/>
          <w:color w:val="auto"/>
          <w:highlight w:val="none"/>
        </w:rPr>
        <w:t>+</w:t>
      </w:r>
      <w:r>
        <w:rPr>
          <w:rFonts w:hint="eastAsia" w:ascii="Times New Roman" w:hAnsi="Times New Roman" w:cs="Times New Roman"/>
          <w:color w:val="auto"/>
          <w:highlight w:val="none"/>
        </w:rPr>
        <w:t>III，供应商最终得分为各评审小组成员评分的算数平均值</w:t>
      </w:r>
      <w:r>
        <w:rPr>
          <w:rFonts w:ascii="Times New Roman" w:hAnsi="Times New Roman" w:cs="Times New Roman"/>
          <w:color w:val="auto"/>
          <w:highlight w:val="none"/>
        </w:rPr>
        <w:t>。</w:t>
      </w:r>
    </w:p>
    <w:p w14:paraId="3335D67F">
      <w:pPr>
        <w:keepNext/>
        <w:keepLines/>
        <w:spacing w:before="120" w:after="120"/>
        <w:outlineLvl w:val="2"/>
        <w:rPr>
          <w:rFonts w:ascii="Times New Roman" w:hAnsi="Times New Roman" w:eastAsia="黑体" w:cs="Times New Roman"/>
          <w:bCs/>
          <w:color w:val="auto"/>
          <w:sz w:val="24"/>
          <w:szCs w:val="32"/>
          <w:highlight w:val="none"/>
        </w:rPr>
      </w:pPr>
      <w:bookmarkStart w:id="189" w:name="_Toc29748"/>
      <w:r>
        <w:rPr>
          <w:rFonts w:ascii="Times New Roman" w:hAnsi="Times New Roman" w:eastAsia="黑体" w:cs="Times New Roman"/>
          <w:bCs/>
          <w:color w:val="auto"/>
          <w:sz w:val="24"/>
          <w:szCs w:val="32"/>
          <w:highlight w:val="none"/>
        </w:rPr>
        <w:t xml:space="preserve">3.3 </w:t>
      </w:r>
      <w:r>
        <w:rPr>
          <w:rFonts w:hint="eastAsia" w:ascii="Times New Roman" w:hAnsi="Times New Roman" w:eastAsia="黑体" w:cs="Times New Roman"/>
          <w:bCs/>
          <w:color w:val="auto"/>
          <w:sz w:val="24"/>
          <w:szCs w:val="32"/>
          <w:highlight w:val="none"/>
        </w:rPr>
        <w:t>否决响应文件</w:t>
      </w:r>
      <w:r>
        <w:rPr>
          <w:rFonts w:ascii="Times New Roman" w:hAnsi="Times New Roman" w:eastAsia="黑体" w:cs="Times New Roman"/>
          <w:bCs/>
          <w:color w:val="auto"/>
          <w:sz w:val="24"/>
          <w:szCs w:val="32"/>
          <w:highlight w:val="none"/>
        </w:rPr>
        <w:t>的其他情形</w:t>
      </w:r>
      <w:bookmarkEnd w:id="189"/>
    </w:p>
    <w:p w14:paraId="6D8F3A38">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应对在评审过程中发现供应商存在串通报价、弄虚作假、行贿等违法行为的，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01446371">
      <w:pPr>
        <w:keepNext/>
        <w:keepLines/>
        <w:spacing w:before="120" w:after="120"/>
        <w:outlineLvl w:val="2"/>
        <w:rPr>
          <w:rFonts w:ascii="Times New Roman" w:hAnsi="Times New Roman" w:eastAsia="黑体" w:cs="Times New Roman"/>
          <w:bCs/>
          <w:color w:val="auto"/>
          <w:sz w:val="24"/>
          <w:szCs w:val="32"/>
          <w:highlight w:val="none"/>
        </w:rPr>
      </w:pPr>
      <w:bookmarkStart w:id="190" w:name="_Toc12132"/>
      <w:r>
        <w:rPr>
          <w:rFonts w:ascii="Times New Roman" w:hAnsi="Times New Roman" w:eastAsia="黑体" w:cs="Times New Roman"/>
          <w:bCs/>
          <w:color w:val="auto"/>
          <w:sz w:val="24"/>
          <w:szCs w:val="32"/>
          <w:highlight w:val="none"/>
        </w:rPr>
        <w:t>3.4 响应文件的澄清</w:t>
      </w:r>
      <w:bookmarkEnd w:id="190"/>
    </w:p>
    <w:p w14:paraId="36201AC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3.4.1 在评审过程中，</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可以书面形式要求供应商对响应文件中含义不明确、对同类问题表述不一致或者有明显文字</w:t>
      </w:r>
      <w:r>
        <w:rPr>
          <w:rFonts w:hint="eastAsia" w:ascii="Times New Roman" w:hAnsi="Times New Roman" w:cs="Times New Roman"/>
          <w:color w:val="auto"/>
          <w:highlight w:val="none"/>
        </w:rPr>
        <w:t>错误</w:t>
      </w:r>
      <w:r>
        <w:rPr>
          <w:rFonts w:ascii="Times New Roman" w:hAnsi="Times New Roman" w:cs="Times New Roman"/>
          <w:color w:val="auto"/>
          <w:highlight w:val="none"/>
        </w:rPr>
        <w:t>的内容做必要的澄清。</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不接受供应商主动提出的澄清。</w:t>
      </w:r>
    </w:p>
    <w:p w14:paraId="68DAABA2">
      <w:pPr>
        <w:spacing w:line="440" w:lineRule="exact"/>
        <w:ind w:firstLine="420"/>
        <w:rPr>
          <w:rFonts w:ascii="Times New Roman" w:hAnsi="Times New Roman" w:cs="Times New Roman"/>
          <w:strike/>
          <w:color w:val="auto"/>
          <w:highlight w:val="none"/>
        </w:rPr>
      </w:pPr>
      <w:r>
        <w:rPr>
          <w:rFonts w:ascii="Times New Roman" w:hAnsi="Times New Roman" w:cs="Times New Roman"/>
          <w:color w:val="auto"/>
          <w:highlight w:val="none"/>
        </w:rPr>
        <w:t>3.4.2 澄清不得超出响应文件的范围且不得改变响应文件的实质性内容，并构成响应文件的组成部分。</w:t>
      </w:r>
    </w:p>
    <w:p w14:paraId="40F6F5B4">
      <w:pPr>
        <w:keepNext/>
        <w:keepLines/>
        <w:spacing w:before="120" w:after="120"/>
        <w:outlineLvl w:val="2"/>
        <w:rPr>
          <w:rFonts w:ascii="Times New Roman" w:hAnsi="Times New Roman" w:eastAsia="黑体" w:cs="Times New Roman"/>
          <w:bCs/>
          <w:color w:val="auto"/>
          <w:sz w:val="24"/>
          <w:szCs w:val="32"/>
          <w:highlight w:val="none"/>
        </w:rPr>
      </w:pPr>
      <w:bookmarkStart w:id="191" w:name="_Toc31115"/>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评审结果</w:t>
      </w:r>
      <w:bookmarkEnd w:id="191"/>
    </w:p>
    <w:p w14:paraId="51C1357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评审小组</w:t>
      </w:r>
      <w:r>
        <w:rPr>
          <w:rFonts w:ascii="Times New Roman" w:hAnsi="Times New Roman" w:cs="Times New Roman"/>
          <w:color w:val="auto"/>
          <w:highlight w:val="none"/>
        </w:rPr>
        <w:t>完成评审后，应当向采购人提交评审报告。评审报告应当如实记载以下内容：</w:t>
      </w:r>
    </w:p>
    <w:p w14:paraId="0793BBD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（一）采购项目基本情况</w:t>
      </w:r>
    </w:p>
    <w:p w14:paraId="1525ED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（二）采购过程回顾</w:t>
      </w:r>
    </w:p>
    <w:p w14:paraId="69B45B8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（三）评审小组成员名单</w:t>
      </w:r>
    </w:p>
    <w:p w14:paraId="36F0BEB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（四）询比评审工作</w:t>
      </w:r>
    </w:p>
    <w:p w14:paraId="7993F4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w:t>
      </w:r>
      <w:r>
        <w:rPr>
          <w:rFonts w:ascii="Times New Roman" w:hAnsi="Times New Roman" w:cs="Times New Roman"/>
          <w:color w:val="auto"/>
          <w:highlight w:val="none"/>
        </w:rPr>
        <w:t>评审办法</w:t>
      </w:r>
    </w:p>
    <w:p w14:paraId="684BE95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w:t>
      </w:r>
      <w:r>
        <w:rPr>
          <w:rFonts w:ascii="Times New Roman" w:hAnsi="Times New Roman" w:cs="Times New Roman"/>
          <w:color w:val="auto"/>
          <w:highlight w:val="none"/>
        </w:rPr>
        <w:t>初步评审情况（资格审查、形式性审查、响应性审查）</w:t>
      </w:r>
    </w:p>
    <w:p w14:paraId="625C09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.详细评审情况（</w:t>
      </w:r>
      <w:r>
        <w:rPr>
          <w:rFonts w:ascii="Times New Roman" w:hAnsi="Times New Roman" w:cs="Times New Roman"/>
          <w:color w:val="auto"/>
          <w:highlight w:val="none"/>
        </w:rPr>
        <w:t>供应商的</w:t>
      </w:r>
      <w:r>
        <w:rPr>
          <w:rFonts w:hint="eastAsia" w:ascii="Times New Roman" w:hAnsi="Times New Roman" w:cs="Times New Roman"/>
          <w:color w:val="auto"/>
          <w:highlight w:val="none"/>
        </w:rPr>
        <w:t>综合</w:t>
      </w:r>
      <w:r>
        <w:rPr>
          <w:rFonts w:ascii="Times New Roman" w:hAnsi="Times New Roman" w:cs="Times New Roman"/>
          <w:color w:val="auto"/>
          <w:highlight w:val="none"/>
        </w:rPr>
        <w:t>评分情况</w:t>
      </w:r>
      <w:r>
        <w:rPr>
          <w:rFonts w:hint="eastAsia" w:ascii="Times New Roman" w:hAnsi="Times New Roman" w:cs="Times New Roman"/>
          <w:color w:val="auto"/>
          <w:highlight w:val="none"/>
        </w:rPr>
        <w:t>）</w:t>
      </w:r>
    </w:p>
    <w:p w14:paraId="610C86F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w:t>
      </w:r>
      <w:r>
        <w:rPr>
          <w:rFonts w:hint="eastAsia" w:ascii="Times New Roman" w:hAnsi="Times New Roman" w:cs="Times New Roman"/>
          <w:color w:val="auto"/>
          <w:highlight w:val="none"/>
        </w:rPr>
        <w:t>.</w:t>
      </w:r>
      <w:r>
        <w:rPr>
          <w:rFonts w:ascii="Times New Roman" w:hAnsi="Times New Roman" w:cs="Times New Roman"/>
          <w:color w:val="auto"/>
          <w:highlight w:val="none"/>
        </w:rPr>
        <w:t>否决的供应商名单以及否决理由（如有）</w:t>
      </w:r>
    </w:p>
    <w:p w14:paraId="22FD51E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5</w:t>
      </w:r>
      <w:r>
        <w:rPr>
          <w:rFonts w:hint="eastAsia" w:ascii="Times New Roman" w:hAnsi="Times New Roman" w:cs="Times New Roman"/>
          <w:color w:val="auto"/>
          <w:highlight w:val="none"/>
        </w:rPr>
        <w:t>.</w:t>
      </w:r>
      <w:r>
        <w:rPr>
          <w:rFonts w:ascii="Times New Roman" w:hAnsi="Times New Roman" w:cs="Times New Roman"/>
          <w:color w:val="auto"/>
          <w:highlight w:val="none"/>
        </w:rPr>
        <w:t>推荐候选供应商排序</w:t>
      </w:r>
    </w:p>
    <w:p w14:paraId="79A9025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（五）需要说明的其他事项</w:t>
      </w:r>
    </w:p>
    <w:p w14:paraId="23BC347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（六）评审附表</w:t>
      </w:r>
    </w:p>
    <w:p w14:paraId="1B395DB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w:t>
      </w:r>
      <w:r>
        <w:rPr>
          <w:rFonts w:ascii="Times New Roman" w:hAnsi="Times New Roman" w:cs="Times New Roman"/>
          <w:color w:val="auto"/>
          <w:highlight w:val="none"/>
        </w:rPr>
        <w:t>响应文件开启记录表</w:t>
      </w:r>
    </w:p>
    <w:p w14:paraId="6C63D55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w:t>
      </w:r>
      <w:r>
        <w:rPr>
          <w:rFonts w:ascii="Times New Roman" w:hAnsi="Times New Roman" w:cs="Times New Roman"/>
          <w:color w:val="auto"/>
          <w:highlight w:val="none"/>
        </w:rPr>
        <w:t>评审表格</w:t>
      </w:r>
    </w:p>
    <w:p w14:paraId="59123A3F">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081CDA3C">
      <w:pPr>
        <w:pStyle w:val="3"/>
        <w:numPr>
          <w:ilvl w:val="0"/>
          <w:numId w:val="0"/>
        </w:numPr>
        <w:spacing w:before="312" w:after="312"/>
        <w:ind w:leftChars="0"/>
        <w:rPr>
          <w:rFonts w:ascii="Times New Roman" w:hAnsi="Times New Roman" w:eastAsia="宋体" w:cs="Times New Roman"/>
          <w:color w:val="auto"/>
          <w:highlight w:val="none"/>
        </w:rPr>
      </w:pPr>
      <w:bookmarkStart w:id="192" w:name="_Toc8032"/>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192"/>
    </w:p>
    <w:p w14:paraId="04A7075F">
      <w:pPr>
        <w:keepNext w:val="0"/>
        <w:keepLines w:val="0"/>
        <w:widowControl w:val="0"/>
        <w:shd w:val="clear" w:color="auto" w:fill="auto"/>
        <w:wordWrap w:val="0"/>
        <w:bidi w:val="0"/>
        <w:spacing w:before="0" w:after="880" w:line="360" w:lineRule="auto"/>
        <w:ind w:left="0" w:right="0" w:firstLine="0"/>
        <w:jc w:val="right"/>
        <w:rPr>
          <w:rFonts w:hint="default" w:ascii="宋体" w:hAnsi="宋体" w:eastAsia="宋体" w:cs="宋体"/>
          <w:b/>
          <w:bCs/>
          <w:color w:val="auto"/>
          <w:kern w:val="2"/>
          <w:sz w:val="24"/>
          <w:szCs w:val="24"/>
          <w:u w:val="single"/>
          <w:shd w:val="clear" w:color="auto" w:fill="auto"/>
          <w:lang w:val="en-US" w:eastAsia="zh-CN" w:bidi="ar-SA"/>
        </w:rPr>
      </w:pPr>
      <w:bookmarkStart w:id="193" w:name="_Toc447808679"/>
      <w:bookmarkStart w:id="194" w:name="_Toc16698_WPSOffice_Level2"/>
      <w:bookmarkStart w:id="195" w:name="_Toc12005"/>
      <w:r>
        <w:rPr>
          <w:rFonts w:hint="eastAsia" w:ascii="仿宋" w:hAnsi="仿宋" w:eastAsia="仿宋" w:cs="仿宋"/>
          <w:b w:val="0"/>
          <w:bCs w:val="0"/>
          <w:color w:val="auto"/>
          <w:kern w:val="2"/>
          <w:sz w:val="32"/>
          <w:szCs w:val="32"/>
          <w:u w:val="none"/>
          <w:shd w:val="clear" w:color="auto" w:fill="auto"/>
          <w:lang w:val="zh-TW" w:eastAsia="zh-TW" w:bidi="ar-SA"/>
        </w:rPr>
        <w:t>合同编号：</w:t>
      </w:r>
      <w:r>
        <w:rPr>
          <w:rFonts w:hint="eastAsia" w:ascii="宋体" w:hAnsi="宋体" w:eastAsia="宋体" w:cs="宋体"/>
          <w:b w:val="0"/>
          <w:bCs w:val="0"/>
          <w:color w:val="auto"/>
          <w:spacing w:val="0"/>
          <w:w w:val="100"/>
          <w:kern w:val="2"/>
          <w:position w:val="0"/>
          <w:sz w:val="24"/>
          <w:szCs w:val="24"/>
          <w:u w:val="none"/>
          <w:shd w:val="clear" w:color="auto" w:fill="auto"/>
          <w:lang w:val="en-US" w:eastAsia="zh-CN" w:bidi="zh-TW"/>
        </w:rPr>
        <w:t xml:space="preserve">      </w:t>
      </w:r>
    </w:p>
    <w:p w14:paraId="1A291F16">
      <w:pPr>
        <w:keepNext/>
        <w:keepLines/>
        <w:widowControl w:val="0"/>
        <w:numPr>
          <w:ilvl w:val="0"/>
          <w:numId w:val="0"/>
        </w:numPr>
        <w:snapToGrid w:val="0"/>
        <w:spacing w:beforeLines="-2147483648" w:afterLines="-2147483648" w:line="240" w:lineRule="auto"/>
        <w:ind w:leftChars="0" w:firstLine="0"/>
        <w:jc w:val="center"/>
        <w:outlineLvl w:val="0"/>
        <w:rPr>
          <w:rFonts w:hint="eastAsia" w:ascii="宋体" w:hAnsi="宋体" w:eastAsia="宋体" w:cstheme="minorBidi"/>
          <w:b/>
          <w:bCs/>
          <w:color w:val="auto"/>
          <w:kern w:val="44"/>
          <w:sz w:val="44"/>
          <w:szCs w:val="44"/>
          <w:lang w:val="en-US" w:eastAsia="zh-CN" w:bidi="ar-SA"/>
        </w:rPr>
      </w:pPr>
      <w:bookmarkStart w:id="196" w:name="_Toc31410"/>
      <w:r>
        <w:rPr>
          <w:rFonts w:hint="eastAsia" w:ascii="宋体" w:hAnsi="宋体" w:eastAsia="宋体" w:cstheme="minorBidi"/>
          <w:b/>
          <w:bCs/>
          <w:color w:val="auto"/>
          <w:kern w:val="44"/>
          <w:sz w:val="44"/>
          <w:szCs w:val="44"/>
          <w:lang w:val="en-US" w:eastAsia="zh-CN" w:bidi="ar-SA"/>
        </w:rPr>
        <w:t>深圳安联尚璟府项目软装家具套装采购（2025~2026年度）合同</w:t>
      </w:r>
      <w:bookmarkEnd w:id="196"/>
    </w:p>
    <w:p w14:paraId="0C9E00FE">
      <w:pPr>
        <w:pStyle w:val="2"/>
        <w:rPr>
          <w:color w:val="auto"/>
        </w:rPr>
      </w:pPr>
    </w:p>
    <w:p w14:paraId="119F38D4">
      <w:pPr>
        <w:pStyle w:val="2"/>
        <w:rPr>
          <w:color w:val="auto"/>
        </w:rPr>
      </w:pPr>
    </w:p>
    <w:p w14:paraId="1CBE905F">
      <w:pPr>
        <w:pStyle w:val="2"/>
        <w:rPr>
          <w:color w:val="auto"/>
        </w:rPr>
      </w:pPr>
    </w:p>
    <w:p w14:paraId="50B23423">
      <w:pPr>
        <w:pStyle w:val="2"/>
        <w:rPr>
          <w:color w:val="auto"/>
        </w:rPr>
      </w:pPr>
    </w:p>
    <w:p w14:paraId="5D7B2B10">
      <w:pPr>
        <w:pStyle w:val="2"/>
        <w:rPr>
          <w:color w:val="auto"/>
        </w:rPr>
      </w:pPr>
    </w:p>
    <w:p w14:paraId="025EFC4F">
      <w:pPr>
        <w:pStyle w:val="2"/>
        <w:rPr>
          <w:color w:val="auto"/>
        </w:rPr>
      </w:pPr>
    </w:p>
    <w:p w14:paraId="3948703C">
      <w:pPr>
        <w:pStyle w:val="2"/>
        <w:rPr>
          <w:color w:val="auto"/>
        </w:rPr>
      </w:pPr>
    </w:p>
    <w:p w14:paraId="0B0A4F57">
      <w:pPr>
        <w:pStyle w:val="2"/>
        <w:rPr>
          <w:color w:val="auto"/>
        </w:rPr>
      </w:pPr>
    </w:p>
    <w:p w14:paraId="1E1DCBBD">
      <w:pPr>
        <w:pStyle w:val="2"/>
        <w:rPr>
          <w:color w:val="auto"/>
        </w:rPr>
      </w:pPr>
    </w:p>
    <w:p w14:paraId="53B4CBD5">
      <w:pPr>
        <w:pStyle w:val="2"/>
        <w:rPr>
          <w:color w:val="auto"/>
        </w:rPr>
      </w:pPr>
    </w:p>
    <w:p w14:paraId="1A59C496">
      <w:pPr>
        <w:pStyle w:val="2"/>
        <w:rPr>
          <w:color w:val="auto"/>
        </w:rPr>
      </w:pPr>
    </w:p>
    <w:p w14:paraId="21FF5D70">
      <w:pPr>
        <w:pStyle w:val="2"/>
        <w:rPr>
          <w:color w:val="auto"/>
        </w:rPr>
      </w:pPr>
    </w:p>
    <w:p w14:paraId="6070C2E6">
      <w:pPr>
        <w:pStyle w:val="2"/>
        <w:rPr>
          <w:color w:val="auto"/>
        </w:rPr>
      </w:pPr>
    </w:p>
    <w:p w14:paraId="600C76F7">
      <w:pPr>
        <w:pStyle w:val="2"/>
        <w:rPr>
          <w:color w:val="auto"/>
        </w:rPr>
      </w:pPr>
    </w:p>
    <w:p w14:paraId="77A83401">
      <w:pPr>
        <w:spacing w:after="240" w:line="360" w:lineRule="auto"/>
        <w:ind w:firstLine="640" w:firstLineChars="200"/>
        <w:rPr>
          <w:rFonts w:hint="default"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委 托 人</w:t>
      </w:r>
      <w:r>
        <w:rPr>
          <w:rFonts w:hint="eastAsia" w:ascii="仿宋" w:hAnsi="仿宋" w:eastAsia="仿宋" w:cs="仿宋"/>
          <w:color w:val="auto"/>
          <w:sz w:val="32"/>
          <w:szCs w:val="32"/>
        </w:rPr>
        <w:t>：</w:t>
      </w:r>
      <w:r>
        <w:rPr>
          <w:rFonts w:hint="eastAsia" w:ascii="仿宋" w:hAnsi="仿宋" w:eastAsia="仿宋" w:cs="仿宋"/>
          <w:color w:val="auto"/>
          <w:sz w:val="32"/>
          <w:szCs w:val="32"/>
          <w:u w:val="single"/>
          <w:lang w:val="en-US" w:eastAsia="zh-CN"/>
        </w:rPr>
        <w:t xml:space="preserve"> 深圳市安之联置业有限公司 </w:t>
      </w:r>
    </w:p>
    <w:p w14:paraId="51989525">
      <w:pPr>
        <w:spacing w:after="240" w:line="360" w:lineRule="auto"/>
        <w:ind w:firstLine="640" w:firstLineChars="200"/>
        <w:rPr>
          <w:rFonts w:hint="default"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受 托 人</w:t>
      </w:r>
      <w:r>
        <w:rPr>
          <w:rFonts w:hint="eastAsia" w:ascii="仿宋" w:hAnsi="仿宋" w:eastAsia="仿宋" w:cs="仿宋"/>
          <w:color w:val="auto"/>
          <w:sz w:val="32"/>
          <w:szCs w:val="32"/>
        </w:rPr>
        <w:t>：</w:t>
      </w:r>
      <w:r>
        <w:rPr>
          <w:rFonts w:hint="eastAsia" w:ascii="仿宋" w:hAnsi="仿宋" w:eastAsia="仿宋" w:cs="仿宋"/>
          <w:color w:val="auto"/>
          <w:sz w:val="32"/>
          <w:szCs w:val="32"/>
          <w:u w:val="single"/>
          <w:lang w:val="en-US" w:eastAsia="zh-CN"/>
        </w:rPr>
        <w:t xml:space="preserve">                          </w:t>
      </w:r>
    </w:p>
    <w:p w14:paraId="709F0113">
      <w:pPr>
        <w:spacing w:after="240"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签订时间：</w:t>
      </w:r>
      <w:r>
        <w:rPr>
          <w:rFonts w:hint="eastAsia" w:ascii="仿宋" w:hAnsi="仿宋" w:eastAsia="仿宋" w:cs="仿宋"/>
          <w:color w:val="auto"/>
          <w:sz w:val="32"/>
          <w:szCs w:val="32"/>
          <w:u w:val="single"/>
          <w:lang w:val="en-US" w:eastAsia="zh-CN"/>
        </w:rPr>
        <w:t xml:space="preserve">                          </w:t>
      </w:r>
    </w:p>
    <w:p w14:paraId="34E93D4E">
      <w:pPr>
        <w:spacing w:after="240" w:line="360" w:lineRule="auto"/>
        <w:ind w:firstLine="640" w:firstLineChars="200"/>
        <w:rPr>
          <w:rFonts w:hint="eastAsia" w:ascii="仿宋" w:hAnsi="仿宋" w:eastAsia="仿宋" w:cs="仿宋"/>
          <w:color w:val="auto"/>
          <w:sz w:val="32"/>
          <w:szCs w:val="32"/>
        </w:rPr>
        <w:sectPr>
          <w:footnotePr>
            <w:numFmt w:val="decimal"/>
          </w:footnotePr>
          <w:pgSz w:w="11900" w:h="16840"/>
          <w:pgMar w:top="1440" w:right="1803" w:bottom="1389" w:left="1803" w:header="850" w:footer="992" w:gutter="0"/>
          <w:pgBorders>
            <w:top w:val="none" w:sz="0" w:space="0"/>
            <w:left w:val="none" w:sz="0" w:space="0"/>
            <w:bottom w:val="none" w:sz="0" w:space="0"/>
            <w:right w:val="none" w:sz="0" w:space="0"/>
          </w:pgBorders>
          <w:pgNumType w:fmt="decimal"/>
          <w:cols w:space="720" w:num="1"/>
          <w:rtlGutter w:val="0"/>
          <w:docGrid w:linePitch="360" w:charSpace="0"/>
        </w:sectPr>
      </w:pPr>
    </w:p>
    <w:bookmarkEnd w:id="193"/>
    <w:bookmarkEnd w:id="194"/>
    <w:bookmarkEnd w:id="195"/>
    <w:p w14:paraId="026D1C1D">
      <w:pPr>
        <w:spacing w:line="560" w:lineRule="exact"/>
        <w:jc w:val="center"/>
        <w:outlineLvl w:val="0"/>
        <w:rPr>
          <w:rFonts w:ascii="Times New Roman" w:hAnsi="Times New Roman" w:eastAsia="仿宋_GB2312" w:cs="Times New Roman"/>
          <w:color w:val="auto"/>
          <w:kern w:val="0"/>
          <w:sz w:val="32"/>
          <w:szCs w:val="32"/>
        </w:rPr>
      </w:pPr>
      <w:bookmarkStart w:id="197" w:name="_Toc29784"/>
      <w:bookmarkStart w:id="198" w:name="_Toc13628"/>
      <w:bookmarkStart w:id="199" w:name="_Toc19511_WPSOffice_Level1"/>
      <w:bookmarkStart w:id="200" w:name="_Toc29023_WPSOffice_Level1"/>
      <w:bookmarkStart w:id="201" w:name="_Toc30549"/>
      <w:r>
        <w:rPr>
          <w:rFonts w:hint="eastAsia" w:ascii="宋体" w:hAnsi="宋体" w:eastAsia="宋体" w:cstheme="minorBidi"/>
          <w:b/>
          <w:bCs/>
          <w:color w:val="auto"/>
          <w:kern w:val="44"/>
          <w:sz w:val="44"/>
          <w:szCs w:val="44"/>
          <w:lang w:val="en-US" w:eastAsia="zh-CN" w:bidi="ar-SA"/>
        </w:rPr>
        <w:t>深圳安联尚璟府项目软装家具套装采购（2025~2026年度）</w:t>
      </w:r>
      <w:r>
        <w:rPr>
          <w:rFonts w:ascii="Times New Roman" w:hAnsi="Times New Roman" w:eastAsia="仿宋" w:cs="Times New Roman"/>
          <w:b/>
          <w:color w:val="auto"/>
          <w:sz w:val="44"/>
          <w:szCs w:val="44"/>
        </w:rPr>
        <w:t>合同</w:t>
      </w:r>
      <w:bookmarkEnd w:id="197"/>
      <w:bookmarkEnd w:id="198"/>
    </w:p>
    <w:p w14:paraId="2EDC3A7C">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b/>
          <w:color w:val="auto"/>
          <w:w w:val="90"/>
          <w:sz w:val="24"/>
        </w:rPr>
        <w:t xml:space="preserve">合同编号：                </w:t>
      </w:r>
      <w:r>
        <w:rPr>
          <w:rFonts w:hint="eastAsia" w:ascii="仿宋" w:hAnsi="仿宋" w:eastAsia="仿宋" w:cs="仿宋"/>
          <w:color w:val="auto"/>
          <w:sz w:val="24"/>
        </w:rPr>
        <w:t>】</w:t>
      </w:r>
    </w:p>
    <w:tbl>
      <w:tblPr>
        <w:tblStyle w:val="21"/>
        <w:tblpPr w:leftFromText="180" w:rightFromText="180" w:vertAnchor="text" w:horzAnchor="page" w:tblpX="1410" w:tblpY="259"/>
        <w:tblOverlap w:val="never"/>
        <w:tblW w:w="952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91"/>
        <w:gridCol w:w="4832"/>
      </w:tblGrid>
      <w:tr w14:paraId="5DCDC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4691" w:type="dxa"/>
            <w:tcBorders>
              <w:top w:val="single" w:color="auto" w:sz="12" w:space="0"/>
              <w:bottom w:val="single" w:color="auto" w:sz="12" w:space="0"/>
            </w:tcBorders>
          </w:tcPr>
          <w:p w14:paraId="51BC787F">
            <w:pPr>
              <w:spacing w:line="360" w:lineRule="auto"/>
              <w:rPr>
                <w:rFonts w:hint="eastAsia" w:ascii="仿宋" w:hAnsi="仿宋" w:eastAsia="仿宋" w:cs="仿宋"/>
                <w:color w:val="auto"/>
                <w:szCs w:val="21"/>
              </w:rPr>
            </w:pPr>
            <w:r>
              <w:rPr>
                <w:rFonts w:hint="eastAsia" w:ascii="仿宋" w:hAnsi="仿宋" w:eastAsia="仿宋" w:cs="仿宋"/>
                <w:b/>
                <w:color w:val="auto"/>
                <w:szCs w:val="21"/>
              </w:rPr>
              <w:t>委托方</w:t>
            </w:r>
            <w:r>
              <w:rPr>
                <w:rFonts w:hint="eastAsia" w:ascii="仿宋" w:hAnsi="仿宋" w:eastAsia="仿宋" w:cs="仿宋"/>
                <w:color w:val="auto"/>
                <w:szCs w:val="21"/>
              </w:rPr>
              <w:t>：深圳市安之联置业有限公司</w:t>
            </w:r>
          </w:p>
          <w:p w14:paraId="46677BA0">
            <w:pPr>
              <w:spacing w:line="360" w:lineRule="auto"/>
              <w:ind w:firstLine="1260" w:firstLineChars="600"/>
              <w:rPr>
                <w:rFonts w:hint="eastAsia" w:ascii="仿宋" w:hAnsi="仿宋" w:eastAsia="仿宋" w:cs="仿宋"/>
                <w:color w:val="auto"/>
                <w:szCs w:val="21"/>
              </w:rPr>
            </w:pPr>
            <w:r>
              <w:rPr>
                <w:rFonts w:hint="eastAsia" w:ascii="仿宋" w:hAnsi="仿宋" w:eastAsia="仿宋" w:cs="仿宋"/>
                <w:color w:val="auto"/>
                <w:szCs w:val="21"/>
              </w:rPr>
              <w:t>（以下简称甲方）</w:t>
            </w:r>
          </w:p>
          <w:p w14:paraId="0AFE7AA7">
            <w:pPr>
              <w:spacing w:line="360" w:lineRule="auto"/>
              <w:ind w:firstLine="1260" w:firstLineChars="600"/>
              <w:rPr>
                <w:rFonts w:hint="eastAsia" w:ascii="仿宋" w:hAnsi="仿宋" w:eastAsia="仿宋" w:cs="仿宋"/>
                <w:color w:val="auto"/>
                <w:szCs w:val="21"/>
              </w:rPr>
            </w:pPr>
          </w:p>
          <w:p w14:paraId="5FB3FDC2">
            <w:pPr>
              <w:spacing w:line="360" w:lineRule="auto"/>
              <w:ind w:left="517" w:hanging="514" w:hangingChars="245"/>
              <w:rPr>
                <w:rFonts w:hint="eastAsia" w:ascii="仿宋" w:hAnsi="仿宋" w:eastAsia="仿宋" w:cs="仿宋"/>
                <w:color w:val="auto"/>
                <w:szCs w:val="21"/>
              </w:rPr>
            </w:pPr>
            <w:r>
              <w:rPr>
                <w:rFonts w:hint="eastAsia" w:ascii="仿宋" w:hAnsi="仿宋" w:eastAsia="仿宋" w:cs="仿宋"/>
                <w:b/>
                <w:color w:val="auto"/>
                <w:szCs w:val="21"/>
              </w:rPr>
              <w:t>地址：</w:t>
            </w:r>
            <w:r>
              <w:rPr>
                <w:rFonts w:hint="eastAsia" w:ascii="仿宋" w:hAnsi="仿宋" w:eastAsia="仿宋" w:cs="仿宋"/>
                <w:color w:val="auto"/>
                <w:szCs w:val="21"/>
              </w:rPr>
              <w:t xml:space="preserve"> </w:t>
            </w:r>
          </w:p>
          <w:p w14:paraId="171AD1F2">
            <w:pPr>
              <w:spacing w:line="360" w:lineRule="auto"/>
              <w:rPr>
                <w:rFonts w:hint="eastAsia" w:ascii="仿宋" w:hAnsi="仿宋" w:eastAsia="仿宋" w:cs="仿宋"/>
                <w:color w:val="auto"/>
                <w:szCs w:val="21"/>
              </w:rPr>
            </w:pPr>
            <w:r>
              <w:rPr>
                <w:rFonts w:hint="eastAsia" w:ascii="仿宋" w:hAnsi="仿宋" w:eastAsia="仿宋" w:cs="仿宋"/>
                <w:b/>
                <w:color w:val="auto"/>
                <w:szCs w:val="21"/>
              </w:rPr>
              <w:t>邮编</w:t>
            </w:r>
            <w:r>
              <w:rPr>
                <w:rFonts w:hint="eastAsia" w:ascii="仿宋" w:hAnsi="仿宋" w:eastAsia="仿宋" w:cs="仿宋"/>
                <w:color w:val="auto"/>
                <w:szCs w:val="21"/>
              </w:rPr>
              <w:t xml:space="preserve">：                                                                                          </w:t>
            </w:r>
          </w:p>
          <w:p w14:paraId="7AF4FBEA">
            <w:pPr>
              <w:spacing w:line="360" w:lineRule="auto"/>
              <w:rPr>
                <w:rFonts w:hint="eastAsia" w:ascii="仿宋" w:hAnsi="仿宋" w:eastAsia="仿宋" w:cs="仿宋"/>
                <w:color w:val="auto"/>
                <w:szCs w:val="21"/>
              </w:rPr>
            </w:pPr>
            <w:r>
              <w:rPr>
                <w:rFonts w:hint="eastAsia" w:ascii="仿宋" w:hAnsi="仿宋" w:eastAsia="仿宋" w:cs="仿宋"/>
                <w:b/>
                <w:color w:val="auto"/>
                <w:szCs w:val="21"/>
              </w:rPr>
              <w:t>电话</w:t>
            </w:r>
            <w:r>
              <w:rPr>
                <w:rFonts w:hint="eastAsia" w:ascii="仿宋" w:hAnsi="仿宋" w:eastAsia="仿宋" w:cs="仿宋"/>
                <w:color w:val="auto"/>
                <w:szCs w:val="21"/>
              </w:rPr>
              <w:t xml:space="preserve">： </w:t>
            </w:r>
          </w:p>
          <w:p w14:paraId="23713965">
            <w:pPr>
              <w:spacing w:line="440" w:lineRule="exact"/>
              <w:rPr>
                <w:rFonts w:hint="eastAsia" w:ascii="仿宋" w:hAnsi="仿宋" w:eastAsia="仿宋" w:cs="仿宋"/>
                <w:color w:val="auto"/>
                <w:sz w:val="24"/>
              </w:rPr>
            </w:pPr>
          </w:p>
        </w:tc>
        <w:tc>
          <w:tcPr>
            <w:tcW w:w="4832" w:type="dxa"/>
            <w:tcBorders>
              <w:top w:val="single" w:color="auto" w:sz="12" w:space="0"/>
              <w:bottom w:val="single" w:color="auto" w:sz="12" w:space="0"/>
            </w:tcBorders>
          </w:tcPr>
          <w:p w14:paraId="49B3950F">
            <w:pPr>
              <w:autoSpaceDE w:val="0"/>
              <w:autoSpaceDN w:val="0"/>
              <w:adjustRightInd w:val="0"/>
              <w:spacing w:line="440" w:lineRule="exact"/>
              <w:rPr>
                <w:rFonts w:hint="eastAsia" w:ascii="仿宋" w:hAnsi="仿宋" w:eastAsia="仿宋" w:cs="仿宋"/>
                <w:b/>
                <w:color w:val="auto"/>
                <w:szCs w:val="21"/>
              </w:rPr>
            </w:pPr>
            <w:r>
              <w:rPr>
                <w:rFonts w:hint="eastAsia" w:ascii="仿宋" w:hAnsi="仿宋" w:eastAsia="仿宋" w:cs="仿宋"/>
                <w:b/>
                <w:color w:val="auto"/>
                <w:szCs w:val="21"/>
              </w:rPr>
              <w:t>受托方：</w:t>
            </w:r>
          </w:p>
          <w:p w14:paraId="096A313A">
            <w:pPr>
              <w:autoSpaceDE w:val="0"/>
              <w:autoSpaceDN w:val="0"/>
              <w:adjustRightInd w:val="0"/>
              <w:spacing w:line="440" w:lineRule="exact"/>
              <w:rPr>
                <w:rFonts w:hint="eastAsia" w:ascii="仿宋" w:hAnsi="仿宋" w:eastAsia="仿宋" w:cs="仿宋"/>
                <w:b/>
                <w:color w:val="auto"/>
                <w:szCs w:val="21"/>
              </w:rPr>
            </w:pPr>
            <w:r>
              <w:rPr>
                <w:rFonts w:hint="eastAsia" w:ascii="仿宋" w:hAnsi="仿宋" w:eastAsia="仿宋" w:cs="仿宋"/>
                <w:b/>
                <w:color w:val="auto"/>
                <w:szCs w:val="21"/>
              </w:rPr>
              <w:t>（以下简称乙方）</w:t>
            </w:r>
          </w:p>
          <w:p w14:paraId="49EF2A34">
            <w:pPr>
              <w:autoSpaceDE w:val="0"/>
              <w:autoSpaceDN w:val="0"/>
              <w:adjustRightInd w:val="0"/>
              <w:spacing w:line="440" w:lineRule="exact"/>
              <w:rPr>
                <w:rFonts w:hint="eastAsia" w:ascii="仿宋" w:hAnsi="仿宋" w:eastAsia="仿宋" w:cs="仿宋"/>
                <w:b/>
                <w:color w:val="auto"/>
                <w:szCs w:val="21"/>
              </w:rPr>
            </w:pPr>
            <w:r>
              <w:rPr>
                <w:rFonts w:hint="eastAsia" w:ascii="仿宋" w:hAnsi="仿宋" w:eastAsia="仿宋" w:cs="仿宋"/>
                <w:b/>
                <w:color w:val="auto"/>
                <w:szCs w:val="21"/>
              </w:rPr>
              <w:t>地址：</w:t>
            </w:r>
          </w:p>
          <w:p w14:paraId="7732E634">
            <w:pPr>
              <w:autoSpaceDE w:val="0"/>
              <w:autoSpaceDN w:val="0"/>
              <w:adjustRightInd w:val="0"/>
              <w:spacing w:line="440" w:lineRule="exact"/>
              <w:rPr>
                <w:rFonts w:hint="eastAsia" w:ascii="仿宋" w:hAnsi="仿宋" w:eastAsia="仿宋" w:cs="仿宋"/>
                <w:b/>
                <w:color w:val="auto"/>
                <w:szCs w:val="21"/>
              </w:rPr>
            </w:pPr>
            <w:r>
              <w:rPr>
                <w:rFonts w:hint="eastAsia" w:ascii="仿宋" w:hAnsi="仿宋" w:eastAsia="仿宋" w:cs="仿宋"/>
                <w:b/>
                <w:color w:val="auto"/>
                <w:szCs w:val="21"/>
              </w:rPr>
              <w:t xml:space="preserve">邮编： </w:t>
            </w:r>
          </w:p>
          <w:p w14:paraId="76B64682">
            <w:pPr>
              <w:autoSpaceDE w:val="0"/>
              <w:autoSpaceDN w:val="0"/>
              <w:adjustRightInd w:val="0"/>
              <w:spacing w:line="440" w:lineRule="exact"/>
              <w:rPr>
                <w:rFonts w:hint="eastAsia" w:ascii="仿宋" w:hAnsi="仿宋" w:eastAsia="仿宋" w:cs="仿宋"/>
                <w:b/>
                <w:color w:val="auto"/>
                <w:szCs w:val="21"/>
              </w:rPr>
            </w:pPr>
            <w:r>
              <w:rPr>
                <w:rFonts w:hint="eastAsia" w:ascii="仿宋" w:hAnsi="仿宋" w:eastAsia="仿宋" w:cs="仿宋"/>
                <w:b/>
                <w:color w:val="auto"/>
                <w:szCs w:val="21"/>
              </w:rPr>
              <w:t xml:space="preserve">法定代表人： </w:t>
            </w:r>
          </w:p>
          <w:p w14:paraId="49BBDF8A">
            <w:pPr>
              <w:autoSpaceDE w:val="0"/>
              <w:autoSpaceDN w:val="0"/>
              <w:adjustRightInd w:val="0"/>
              <w:spacing w:line="440" w:lineRule="exact"/>
              <w:rPr>
                <w:rFonts w:hint="eastAsia" w:ascii="仿宋" w:hAnsi="仿宋" w:eastAsia="仿宋" w:cs="仿宋"/>
                <w:b/>
                <w:color w:val="auto"/>
                <w:szCs w:val="21"/>
              </w:rPr>
            </w:pPr>
            <w:r>
              <w:rPr>
                <w:rFonts w:hint="eastAsia" w:ascii="仿宋" w:hAnsi="仿宋" w:eastAsia="仿宋" w:cs="仿宋"/>
                <w:b/>
                <w:color w:val="auto"/>
                <w:szCs w:val="21"/>
              </w:rPr>
              <w:t>电话：</w:t>
            </w:r>
          </w:p>
          <w:p w14:paraId="477B83C7">
            <w:pPr>
              <w:autoSpaceDE w:val="0"/>
              <w:autoSpaceDN w:val="0"/>
              <w:adjustRightInd w:val="0"/>
              <w:spacing w:line="440" w:lineRule="exact"/>
              <w:rPr>
                <w:rFonts w:hint="eastAsia" w:ascii="仿宋" w:hAnsi="仿宋" w:eastAsia="仿宋" w:cs="仿宋"/>
                <w:b/>
                <w:color w:val="auto"/>
                <w:szCs w:val="21"/>
              </w:rPr>
            </w:pPr>
            <w:r>
              <w:rPr>
                <w:rFonts w:hint="eastAsia" w:ascii="仿宋" w:hAnsi="仿宋" w:eastAsia="仿宋" w:cs="仿宋"/>
                <w:b/>
                <w:color w:val="auto"/>
                <w:szCs w:val="21"/>
              </w:rPr>
              <w:t xml:space="preserve">开户银行： </w:t>
            </w:r>
          </w:p>
          <w:p w14:paraId="687B508B">
            <w:pPr>
              <w:spacing w:line="440" w:lineRule="exact"/>
              <w:rPr>
                <w:rFonts w:hint="eastAsia" w:ascii="仿宋" w:hAnsi="仿宋" w:eastAsia="仿宋" w:cs="仿宋"/>
                <w:color w:val="auto"/>
                <w:sz w:val="24"/>
              </w:rPr>
            </w:pPr>
            <w:r>
              <w:rPr>
                <w:rFonts w:hint="eastAsia" w:ascii="仿宋" w:hAnsi="仿宋" w:eastAsia="仿宋" w:cs="仿宋"/>
                <w:b/>
                <w:color w:val="auto"/>
                <w:szCs w:val="21"/>
              </w:rPr>
              <w:t>账号： </w:t>
            </w:r>
          </w:p>
        </w:tc>
      </w:tr>
    </w:tbl>
    <w:p w14:paraId="11A3C50A">
      <w:pPr>
        <w:pStyle w:val="2"/>
        <w:rPr>
          <w:rFonts w:hint="eastAsia"/>
          <w:color w:val="auto"/>
        </w:rPr>
      </w:pPr>
    </w:p>
    <w:p w14:paraId="3AC66700">
      <w:pPr>
        <w:widowControl w:val="0"/>
        <w:spacing w:line="500" w:lineRule="exact"/>
        <w:ind w:firstLine="720" w:firstLineChars="200"/>
        <w:jc w:val="both"/>
        <w:rPr>
          <w:rFonts w:ascii="Times New Roman" w:hAnsi="Times New Roman" w:eastAsia="仿宋" w:cs="Times New Roman"/>
          <w:color w:val="auto"/>
          <w:spacing w:val="20"/>
          <w:kern w:val="2"/>
          <w:sz w:val="32"/>
          <w:szCs w:val="32"/>
          <w:lang w:val="en-US" w:eastAsia="zh-CN" w:bidi="ar-SA"/>
        </w:rPr>
      </w:pPr>
      <w:r>
        <w:rPr>
          <w:rFonts w:hint="eastAsia" w:ascii="Times New Roman" w:hAnsi="Times New Roman" w:eastAsia="仿宋" w:cs="Times New Roman"/>
          <w:color w:val="auto"/>
          <w:spacing w:val="20"/>
          <w:kern w:val="2"/>
          <w:sz w:val="32"/>
          <w:szCs w:val="32"/>
          <w:lang w:val="en-US" w:eastAsia="zh-CN" w:bidi="ar-SA"/>
        </w:rPr>
        <w:t>甲乙双方根据《中华人民共和国民法典》及有关法律、法规的规定，经友好协商，甲方就家私套装采购工作等事宜委托乙方。为明确双方的权利和义务，特制定本合同，双方共同遵守。</w:t>
      </w:r>
    </w:p>
    <w:p w14:paraId="2F17DF20">
      <w:pPr>
        <w:spacing w:line="560" w:lineRule="exact"/>
        <w:ind w:firstLine="643"/>
        <w:rPr>
          <w:rFonts w:ascii="Times New Roman" w:hAnsi="Times New Roman" w:eastAsia="仿宋" w:cs="Times New Roman"/>
          <w:color w:val="auto"/>
          <w:spacing w:val="20"/>
          <w:sz w:val="32"/>
          <w:szCs w:val="32"/>
        </w:rPr>
      </w:pPr>
      <w:r>
        <w:rPr>
          <w:rFonts w:ascii="Times New Roman" w:hAnsi="Times New Roman" w:eastAsia="仿宋" w:cs="Times New Roman"/>
          <w:b/>
          <w:bCs/>
          <w:color w:val="auto"/>
          <w:sz w:val="32"/>
          <w:szCs w:val="32"/>
        </w:rPr>
        <w:t>一、合作内容</w:t>
      </w:r>
    </w:p>
    <w:p w14:paraId="5EEFA0E3">
      <w:pPr>
        <w:spacing w:line="560" w:lineRule="exact"/>
        <w:ind w:firstLine="720"/>
        <w:rPr>
          <w:rFonts w:ascii="Times New Roman" w:hAnsi="Times New Roman" w:eastAsia="仿宋" w:cs="Times New Roman"/>
          <w:color w:val="auto"/>
          <w:spacing w:val="20"/>
          <w:sz w:val="32"/>
          <w:szCs w:val="32"/>
        </w:rPr>
      </w:pPr>
      <w:r>
        <w:rPr>
          <w:rFonts w:hint="eastAsia" w:ascii="Times New Roman" w:hAnsi="Times New Roman" w:eastAsia="仿宋" w:cs="Times New Roman"/>
          <w:color w:val="auto"/>
          <w:spacing w:val="20"/>
          <w:sz w:val="32"/>
          <w:szCs w:val="32"/>
          <w:lang w:val="en-US" w:eastAsia="zh-CN"/>
        </w:rPr>
        <w:t>深圳安联尚璟府项目A户型建筑面积约111㎡，B户型建筑面积约89㎡。</w:t>
      </w:r>
      <w:r>
        <w:rPr>
          <w:rFonts w:ascii="Times New Roman" w:hAnsi="Times New Roman" w:eastAsia="仿宋" w:cs="Times New Roman"/>
          <w:color w:val="auto"/>
          <w:spacing w:val="20"/>
          <w:sz w:val="32"/>
          <w:szCs w:val="32"/>
        </w:rPr>
        <w:t>采购家</w:t>
      </w:r>
      <w:r>
        <w:rPr>
          <w:rFonts w:hint="eastAsia" w:ascii="Times New Roman" w:hAnsi="Times New Roman" w:eastAsia="仿宋" w:cs="Times New Roman"/>
          <w:color w:val="auto"/>
          <w:spacing w:val="20"/>
          <w:sz w:val="32"/>
          <w:szCs w:val="32"/>
          <w:lang w:val="en-US" w:eastAsia="zh-CN"/>
        </w:rPr>
        <w:t>具</w:t>
      </w:r>
      <w:r>
        <w:rPr>
          <w:rFonts w:ascii="Times New Roman" w:hAnsi="Times New Roman" w:eastAsia="仿宋" w:cs="Times New Roman"/>
          <w:color w:val="auto"/>
          <w:spacing w:val="20"/>
          <w:sz w:val="32"/>
          <w:szCs w:val="32"/>
        </w:rPr>
        <w:t>套</w:t>
      </w:r>
      <w:r>
        <w:rPr>
          <w:rFonts w:hint="eastAsia" w:ascii="Times New Roman" w:hAnsi="Times New Roman" w:eastAsia="仿宋" w:cs="Times New Roman"/>
          <w:color w:val="auto"/>
          <w:spacing w:val="20"/>
          <w:sz w:val="32"/>
          <w:szCs w:val="32"/>
          <w:lang w:val="en-US" w:eastAsia="zh-CN"/>
        </w:rPr>
        <w:t>装</w:t>
      </w:r>
      <w:r>
        <w:rPr>
          <w:rFonts w:ascii="Times New Roman" w:hAnsi="Times New Roman" w:eastAsia="仿宋" w:cs="Times New Roman"/>
          <w:color w:val="auto"/>
          <w:spacing w:val="20"/>
          <w:sz w:val="32"/>
          <w:szCs w:val="32"/>
        </w:rPr>
        <w:t>内容包括但不限于沙发组、餐桌、餐椅、主卧床</w:t>
      </w:r>
      <w:r>
        <w:rPr>
          <w:rFonts w:hint="eastAsia" w:ascii="Times New Roman" w:hAnsi="Times New Roman" w:eastAsia="仿宋" w:cs="Times New Roman"/>
          <w:color w:val="auto"/>
          <w:spacing w:val="20"/>
          <w:sz w:val="32"/>
          <w:szCs w:val="32"/>
          <w:lang w:eastAsia="zh-CN"/>
        </w:rPr>
        <w:t>、</w:t>
      </w:r>
      <w:r>
        <w:rPr>
          <w:rFonts w:ascii="Times New Roman" w:hAnsi="Times New Roman" w:eastAsia="仿宋" w:cs="Times New Roman"/>
          <w:color w:val="auto"/>
          <w:spacing w:val="20"/>
          <w:sz w:val="32"/>
          <w:szCs w:val="32"/>
        </w:rPr>
        <w:t>次卧床</w:t>
      </w:r>
      <w:r>
        <w:rPr>
          <w:rFonts w:hint="eastAsia" w:ascii="Times New Roman" w:hAnsi="Times New Roman" w:eastAsia="仿宋" w:cs="Times New Roman"/>
          <w:color w:val="auto"/>
          <w:spacing w:val="20"/>
          <w:sz w:val="32"/>
          <w:szCs w:val="32"/>
          <w:lang w:eastAsia="zh-CN"/>
        </w:rPr>
        <w:t>、</w:t>
      </w:r>
      <w:r>
        <w:rPr>
          <w:rFonts w:hint="eastAsia" w:ascii="Times New Roman" w:hAnsi="Times New Roman" w:eastAsia="仿宋" w:cs="Times New Roman"/>
          <w:color w:val="auto"/>
          <w:spacing w:val="20"/>
          <w:sz w:val="32"/>
          <w:szCs w:val="32"/>
          <w:lang w:val="en-US" w:eastAsia="zh-CN"/>
        </w:rPr>
        <w:t>床头柜</w:t>
      </w:r>
      <w:r>
        <w:rPr>
          <w:rFonts w:ascii="Times New Roman" w:hAnsi="Times New Roman" w:eastAsia="仿宋" w:cs="Times New Roman"/>
          <w:color w:val="auto"/>
          <w:spacing w:val="20"/>
          <w:sz w:val="32"/>
          <w:szCs w:val="32"/>
        </w:rPr>
        <w:t>及全屋定制柜等内容。</w:t>
      </w:r>
    </w:p>
    <w:p w14:paraId="3ADE9CBB">
      <w:pPr>
        <w:numPr>
          <w:ilvl w:val="0"/>
          <w:numId w:val="4"/>
        </w:numPr>
        <w:spacing w:line="560" w:lineRule="exact"/>
        <w:ind w:firstLine="627" w:firstLineChars="196"/>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合同期限</w:t>
      </w:r>
    </w:p>
    <w:p w14:paraId="7A8E756A">
      <w:pPr>
        <w:spacing w:line="560" w:lineRule="exact"/>
        <w:ind w:firstLine="432" w:firstLineChars="12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 xml:space="preserve"> 供货期限：</w:t>
      </w:r>
      <w:r>
        <w:rPr>
          <w:rFonts w:ascii="Times New Roman" w:hAnsi="Times New Roman" w:eastAsia="仿宋"/>
          <w:color w:val="auto"/>
          <w:spacing w:val="20"/>
          <w:sz w:val="32"/>
          <w:szCs w:val="32"/>
        </w:rPr>
        <w:t>本合同供货期限自</w:t>
      </w:r>
      <w:r>
        <w:rPr>
          <w:rFonts w:hint="eastAsia" w:ascii="Times New Roman" w:hAnsi="Times New Roman" w:eastAsia="仿宋"/>
          <w:color w:val="auto"/>
          <w:spacing w:val="20"/>
          <w:sz w:val="32"/>
          <w:szCs w:val="32"/>
        </w:rPr>
        <w:t>合同签订生效之日</w:t>
      </w:r>
      <w:r>
        <w:rPr>
          <w:rFonts w:ascii="Times New Roman" w:hAnsi="Times New Roman" w:eastAsia="仿宋"/>
          <w:color w:val="auto"/>
          <w:spacing w:val="20"/>
          <w:sz w:val="32"/>
          <w:szCs w:val="32"/>
        </w:rPr>
        <w:t>起至202</w:t>
      </w:r>
      <w:r>
        <w:rPr>
          <w:rFonts w:hint="eastAsia" w:ascii="Times New Roman" w:hAnsi="Times New Roman" w:eastAsia="仿宋"/>
          <w:color w:val="auto"/>
          <w:spacing w:val="20"/>
          <w:sz w:val="32"/>
          <w:szCs w:val="32"/>
          <w:lang w:val="en-US" w:eastAsia="zh-CN"/>
        </w:rPr>
        <w:t>6</w:t>
      </w:r>
      <w:r>
        <w:rPr>
          <w:rFonts w:ascii="Times New Roman" w:hAnsi="Times New Roman" w:eastAsia="仿宋"/>
          <w:color w:val="auto"/>
          <w:spacing w:val="20"/>
          <w:sz w:val="32"/>
          <w:szCs w:val="32"/>
        </w:rPr>
        <w:t>年</w:t>
      </w:r>
      <w:r>
        <w:rPr>
          <w:rFonts w:hint="eastAsia" w:ascii="Times New Roman" w:hAnsi="Times New Roman" w:eastAsia="仿宋"/>
          <w:color w:val="auto"/>
          <w:spacing w:val="20"/>
          <w:sz w:val="32"/>
          <w:szCs w:val="32"/>
        </w:rPr>
        <w:t>12</w:t>
      </w:r>
      <w:r>
        <w:rPr>
          <w:rFonts w:ascii="Times New Roman" w:hAnsi="Times New Roman" w:eastAsia="仿宋"/>
          <w:color w:val="auto"/>
          <w:spacing w:val="20"/>
          <w:sz w:val="32"/>
          <w:szCs w:val="32"/>
        </w:rPr>
        <w:t>月3</w:t>
      </w:r>
      <w:r>
        <w:rPr>
          <w:rFonts w:hint="eastAsia" w:ascii="Times New Roman" w:hAnsi="Times New Roman" w:eastAsia="仿宋"/>
          <w:color w:val="auto"/>
          <w:spacing w:val="20"/>
          <w:sz w:val="32"/>
          <w:szCs w:val="32"/>
        </w:rPr>
        <w:t>1</w:t>
      </w:r>
      <w:r>
        <w:rPr>
          <w:rFonts w:ascii="Times New Roman" w:hAnsi="Times New Roman" w:eastAsia="仿宋"/>
          <w:color w:val="auto"/>
          <w:spacing w:val="20"/>
          <w:sz w:val="32"/>
          <w:szCs w:val="32"/>
        </w:rPr>
        <w:t>日止，</w:t>
      </w:r>
      <w:r>
        <w:rPr>
          <w:rFonts w:hint="eastAsia" w:ascii="Times New Roman" w:hAnsi="Times New Roman" w:eastAsia="仿宋" w:cs="Times New Roman"/>
          <w:color w:val="auto"/>
          <w:spacing w:val="20"/>
          <w:sz w:val="32"/>
          <w:szCs w:val="32"/>
          <w:lang w:eastAsia="zh-CN"/>
        </w:rPr>
        <w:t>（合同项下所有</w:t>
      </w:r>
      <w:r>
        <w:rPr>
          <w:rFonts w:hint="eastAsia" w:ascii="Times New Roman" w:hAnsi="Times New Roman" w:eastAsia="仿宋" w:cs="Times New Roman"/>
          <w:color w:val="auto"/>
          <w:spacing w:val="20"/>
          <w:sz w:val="32"/>
          <w:szCs w:val="32"/>
          <w:lang w:val="en-US" w:eastAsia="zh-CN"/>
        </w:rPr>
        <w:t>家具采购</w:t>
      </w:r>
      <w:r>
        <w:rPr>
          <w:rFonts w:hint="eastAsia" w:ascii="Times New Roman" w:hAnsi="Times New Roman" w:eastAsia="仿宋" w:cs="Times New Roman"/>
          <w:color w:val="auto"/>
          <w:spacing w:val="20"/>
          <w:sz w:val="32"/>
          <w:szCs w:val="32"/>
          <w:lang w:eastAsia="zh-CN"/>
        </w:rPr>
        <w:t>完毕</w:t>
      </w:r>
      <w:r>
        <w:rPr>
          <w:rFonts w:hint="eastAsia" w:ascii="Times New Roman" w:hAnsi="Times New Roman" w:eastAsia="仿宋" w:cs="Times New Roman"/>
          <w:color w:val="auto"/>
          <w:spacing w:val="20"/>
          <w:sz w:val="32"/>
          <w:szCs w:val="32"/>
          <w:lang w:val="en-US" w:eastAsia="zh-CN"/>
        </w:rPr>
        <w:t>或合同约定时间结束，本合同自行解除</w:t>
      </w:r>
      <w:r>
        <w:rPr>
          <w:rFonts w:hint="eastAsia" w:ascii="Times New Roman" w:hAnsi="Times New Roman" w:eastAsia="仿宋" w:cs="Times New Roman"/>
          <w:color w:val="auto"/>
          <w:spacing w:val="20"/>
          <w:sz w:val="32"/>
          <w:szCs w:val="32"/>
          <w:lang w:eastAsia="zh-CN"/>
        </w:rPr>
        <w:t>）</w:t>
      </w:r>
      <w:r>
        <w:rPr>
          <w:rFonts w:ascii="Times New Roman" w:hAnsi="Times New Roman" w:eastAsia="仿宋" w:cs="Times New Roman"/>
          <w:color w:val="auto"/>
          <w:spacing w:val="20"/>
          <w:sz w:val="32"/>
          <w:szCs w:val="32"/>
        </w:rPr>
        <w:t>，具体家私的需求品类、数量及供货时间以甲方通知为准。</w:t>
      </w:r>
    </w:p>
    <w:p w14:paraId="0AC0958C">
      <w:pPr>
        <w:spacing w:line="560" w:lineRule="exact"/>
        <w:ind w:firstLine="627" w:firstLineChars="196"/>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三、甲方的权利和义务</w:t>
      </w:r>
    </w:p>
    <w:p w14:paraId="6CA96018">
      <w:pPr>
        <w:autoSpaceDE w:val="0"/>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lang w:bidi="ar"/>
        </w:rPr>
        <w:t>1、甲方应在合同履行期间向乙方提供所需的关于甲方的资料和可使用的资源，并积极配合乙方，以便乙方能更顺利的开展所约定的工作。</w:t>
      </w:r>
    </w:p>
    <w:p w14:paraId="1E2D8CBF">
      <w:pPr>
        <w:autoSpaceDE w:val="0"/>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lang w:bidi="ar"/>
        </w:rPr>
        <w:t>2、甲方按合同约定向乙方支付相关费用。甲乙双方应及时沟通，充分预估可能出现的费用，并安排相关事宜。</w:t>
      </w:r>
    </w:p>
    <w:p w14:paraId="57E20CCA">
      <w:pPr>
        <w:autoSpaceDE w:val="0"/>
        <w:spacing w:line="560" w:lineRule="exact"/>
        <w:ind w:firstLine="720" w:firstLineChars="200"/>
        <w:rPr>
          <w:rFonts w:ascii="Times New Roman" w:hAnsi="Times New Roman" w:eastAsia="仿宋" w:cs="Times New Roman"/>
          <w:color w:val="auto"/>
          <w:spacing w:val="20"/>
          <w:sz w:val="32"/>
          <w:szCs w:val="32"/>
          <w:lang w:bidi="ar"/>
        </w:rPr>
      </w:pPr>
      <w:r>
        <w:rPr>
          <w:rFonts w:ascii="Times New Roman" w:hAnsi="Times New Roman" w:eastAsia="仿宋" w:cs="Times New Roman"/>
          <w:color w:val="auto"/>
          <w:spacing w:val="20"/>
          <w:sz w:val="32"/>
          <w:szCs w:val="32"/>
          <w:lang w:bidi="ar"/>
        </w:rPr>
        <w:t>3、如甲方需对已下单的家私内容进行更改，应在第一时间通知乙方，以便乙方能根据甲方的要求及时做出调整。</w:t>
      </w:r>
    </w:p>
    <w:p w14:paraId="241830EB">
      <w:pPr>
        <w:autoSpaceDE w:val="0"/>
        <w:spacing w:line="560" w:lineRule="exact"/>
        <w:ind w:firstLine="720" w:firstLineChars="200"/>
        <w:rPr>
          <w:color w:val="auto"/>
        </w:rPr>
      </w:pPr>
      <w:r>
        <w:rPr>
          <w:rFonts w:hint="eastAsia" w:ascii="Times New Roman" w:hAnsi="Times New Roman" w:eastAsia="仿宋" w:cs="Times New Roman"/>
          <w:color w:val="auto"/>
          <w:spacing w:val="20"/>
          <w:sz w:val="32"/>
          <w:szCs w:val="32"/>
          <w:lang w:val="en-US" w:eastAsia="zh-CN" w:bidi="ar"/>
        </w:rPr>
        <w:t>4</w:t>
      </w:r>
      <w:r>
        <w:rPr>
          <w:rFonts w:hint="eastAsia" w:ascii="Times New Roman" w:hAnsi="Times New Roman" w:eastAsia="仿宋" w:cs="Times New Roman"/>
          <w:color w:val="auto"/>
          <w:spacing w:val="20"/>
          <w:sz w:val="32"/>
          <w:szCs w:val="32"/>
          <w:lang w:bidi="ar"/>
        </w:rPr>
        <w:t>、</w:t>
      </w:r>
      <w:r>
        <w:rPr>
          <w:rFonts w:ascii="Times New Roman" w:hAnsi="Times New Roman" w:eastAsia="仿宋" w:cs="Times New Roman"/>
          <w:color w:val="auto"/>
          <w:spacing w:val="20"/>
          <w:sz w:val="32"/>
          <w:szCs w:val="32"/>
          <w:lang w:bidi="ar"/>
        </w:rPr>
        <w:t>甲方有权根据销售需求调整家私品类、数量及交付时间，乙方不得拒绝或要求额外费用。</w:t>
      </w:r>
    </w:p>
    <w:p w14:paraId="51398920">
      <w:pPr>
        <w:spacing w:line="560" w:lineRule="exact"/>
        <w:ind w:firstLine="627" w:firstLineChars="196"/>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四、乙方的权利与义务</w:t>
      </w:r>
    </w:p>
    <w:p w14:paraId="57D20E4E">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1、</w:t>
      </w:r>
      <w:r>
        <w:rPr>
          <w:rFonts w:hint="eastAsia" w:ascii="Times New Roman" w:hAnsi="Times New Roman" w:eastAsia="仿宋" w:cs="Times New Roman"/>
          <w:color w:val="auto"/>
          <w:spacing w:val="20"/>
          <w:sz w:val="32"/>
          <w:szCs w:val="32"/>
          <w:lang w:val="en-US" w:eastAsia="zh-CN"/>
        </w:rPr>
        <w:t>根据业主要求</w:t>
      </w:r>
      <w:r>
        <w:rPr>
          <w:rFonts w:ascii="Times New Roman" w:hAnsi="Times New Roman" w:eastAsia="仿宋" w:cs="Times New Roman"/>
          <w:color w:val="auto"/>
          <w:spacing w:val="20"/>
          <w:sz w:val="32"/>
          <w:szCs w:val="32"/>
        </w:rPr>
        <w:t>，乙方应及时提供最新的下单、排产、发货、配送、安装进度</w:t>
      </w:r>
      <w:r>
        <w:rPr>
          <w:rFonts w:hint="eastAsia" w:ascii="Times New Roman" w:hAnsi="Times New Roman" w:eastAsia="仿宋" w:cs="Times New Roman"/>
          <w:color w:val="auto"/>
          <w:spacing w:val="20"/>
          <w:sz w:val="32"/>
          <w:szCs w:val="32"/>
          <w:lang w:val="en-US" w:eastAsia="zh-CN"/>
        </w:rPr>
        <w:t>等</w:t>
      </w:r>
      <w:r>
        <w:rPr>
          <w:rFonts w:ascii="Times New Roman" w:hAnsi="Times New Roman" w:eastAsia="仿宋" w:cs="Times New Roman"/>
          <w:color w:val="auto"/>
          <w:spacing w:val="20"/>
          <w:sz w:val="32"/>
          <w:szCs w:val="32"/>
        </w:rPr>
        <w:t>情况。</w:t>
      </w:r>
    </w:p>
    <w:p w14:paraId="4E4D5354">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2、乙方需保证提供的家私是全新（包括零部件）的货物，对该货物享有合法完整的权利。</w:t>
      </w:r>
    </w:p>
    <w:p w14:paraId="7B27E413">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3、乙方保证提供的货物上不存在任何未曾向甲方透露的担保物权，如抵押权、质押权、留置权等。</w:t>
      </w:r>
    </w:p>
    <w:p w14:paraId="78DBC287">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4、乙方保证其所</w:t>
      </w:r>
      <w:r>
        <w:rPr>
          <w:rFonts w:hint="eastAsia" w:ascii="Times New Roman" w:hAnsi="Times New Roman" w:eastAsia="仿宋" w:cs="Times New Roman"/>
          <w:color w:val="auto"/>
          <w:spacing w:val="20"/>
          <w:sz w:val="32"/>
          <w:szCs w:val="32"/>
          <w:lang w:val="en-US" w:eastAsia="zh-CN"/>
        </w:rPr>
        <w:t>供</w:t>
      </w:r>
      <w:r>
        <w:rPr>
          <w:rFonts w:ascii="Times New Roman" w:hAnsi="Times New Roman" w:eastAsia="仿宋" w:cs="Times New Roman"/>
          <w:color w:val="auto"/>
          <w:spacing w:val="20"/>
          <w:sz w:val="32"/>
          <w:szCs w:val="32"/>
        </w:rPr>
        <w:t>的货物没有侵犯任何第三人的知识产权和商业秘密等权利。</w:t>
      </w:r>
    </w:p>
    <w:p w14:paraId="463B44D3">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5、乙方保证其所</w:t>
      </w:r>
      <w:r>
        <w:rPr>
          <w:rFonts w:hint="eastAsia" w:ascii="Times New Roman" w:hAnsi="Times New Roman" w:eastAsia="仿宋" w:cs="Times New Roman"/>
          <w:color w:val="auto"/>
          <w:spacing w:val="20"/>
          <w:sz w:val="32"/>
          <w:szCs w:val="32"/>
          <w:lang w:val="en-US" w:eastAsia="zh-CN"/>
        </w:rPr>
        <w:t>供</w:t>
      </w:r>
      <w:r>
        <w:rPr>
          <w:rFonts w:ascii="Times New Roman" w:hAnsi="Times New Roman" w:eastAsia="仿宋" w:cs="Times New Roman"/>
          <w:color w:val="auto"/>
          <w:spacing w:val="20"/>
          <w:sz w:val="32"/>
          <w:szCs w:val="32"/>
        </w:rPr>
        <w:t>的货物安全稳定，对货物的正常使用不会造成任何人身或财物的损害或环保事件。</w:t>
      </w:r>
    </w:p>
    <w:p w14:paraId="5AA1C5B2">
      <w:pPr>
        <w:spacing w:line="560" w:lineRule="exact"/>
        <w:ind w:firstLine="720" w:firstLineChars="200"/>
        <w:rPr>
          <w:rFonts w:ascii="Times New Roman" w:hAnsi="Times New Roman" w:eastAsia="宋体" w:cs="Times New Roman"/>
          <w:color w:val="auto"/>
        </w:rPr>
      </w:pPr>
      <w:r>
        <w:rPr>
          <w:rFonts w:ascii="Times New Roman" w:hAnsi="Times New Roman" w:eastAsia="仿宋" w:cs="Times New Roman"/>
          <w:color w:val="auto"/>
          <w:spacing w:val="20"/>
          <w:sz w:val="32"/>
          <w:szCs w:val="32"/>
        </w:rPr>
        <w:t>6、乙方应随货提供完整的技术资料及质量合格证书、保修卡（单）、说明书和送货单等随货有关单证，货物完好，配件齐全。</w:t>
      </w:r>
    </w:p>
    <w:p w14:paraId="4B4CBB2F">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7、乙方提供的家私</w:t>
      </w:r>
      <w:r>
        <w:rPr>
          <w:rFonts w:hint="eastAsia" w:ascii="Times New Roman" w:hAnsi="Times New Roman" w:eastAsia="仿宋" w:cs="Times New Roman"/>
          <w:color w:val="auto"/>
          <w:spacing w:val="20"/>
          <w:sz w:val="32"/>
          <w:szCs w:val="32"/>
          <w:lang w:val="en-US" w:eastAsia="zh-CN"/>
        </w:rPr>
        <w:t>应符合</w:t>
      </w:r>
      <w:r>
        <w:rPr>
          <w:rFonts w:ascii="Times New Roman" w:hAnsi="Times New Roman" w:eastAsia="仿宋" w:cs="Times New Roman"/>
          <w:color w:val="auto"/>
          <w:spacing w:val="20"/>
          <w:sz w:val="32"/>
          <w:szCs w:val="32"/>
        </w:rPr>
        <w:t>室内环境《民用建筑工程室内环境污染控制规范》（GB50325-2001）</w:t>
      </w:r>
      <w:r>
        <w:rPr>
          <w:rFonts w:hint="eastAsia" w:ascii="Times New Roman" w:hAnsi="Times New Roman" w:eastAsia="仿宋" w:cs="Times New Roman"/>
          <w:color w:val="auto"/>
          <w:spacing w:val="20"/>
          <w:sz w:val="32"/>
          <w:szCs w:val="32"/>
          <w:lang w:eastAsia="zh-CN"/>
        </w:rPr>
        <w:t>，</w:t>
      </w:r>
      <w:r>
        <w:rPr>
          <w:rFonts w:ascii="Times New Roman" w:hAnsi="Times New Roman" w:eastAsia="仿宋" w:cs="Times New Roman"/>
          <w:color w:val="auto"/>
          <w:spacing w:val="20"/>
          <w:sz w:val="32"/>
          <w:szCs w:val="32"/>
        </w:rPr>
        <w:t>室内污染物应满足如下要求：</w:t>
      </w:r>
    </w:p>
    <w:p w14:paraId="63CE325A">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氡（Bq/m3）≤200</w:t>
      </w:r>
    </w:p>
    <w:p w14:paraId="098CC85F">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甲醛（mg m3）≤0.08</w:t>
      </w:r>
    </w:p>
    <w:p w14:paraId="5787B11E">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苯（mg m3）≤0.09</w:t>
      </w:r>
    </w:p>
    <w:p w14:paraId="4106C44D">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氨（mg m3）≤0.20</w:t>
      </w:r>
    </w:p>
    <w:p w14:paraId="1828E4C0">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总挥发性有机物TVOC（Bq/m3）≤0.50</w:t>
      </w:r>
    </w:p>
    <w:p w14:paraId="6282C448">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8、乙方保证其货物在正常使用和保养条件下，在其使用寿命期内应具有满意的性能，乙方提供的产品应满足如下技术和质量标准：</w:t>
      </w:r>
    </w:p>
    <w:p w14:paraId="55BB52EC">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（1）产品国家标准；</w:t>
      </w:r>
    </w:p>
    <w:p w14:paraId="13D2BD42">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（2）产品行业标准；</w:t>
      </w:r>
    </w:p>
    <w:p w14:paraId="0794AB99">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（3）产品制造商企业标准；</w:t>
      </w:r>
    </w:p>
    <w:p w14:paraId="33653EA7">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（4）本合同及附件所约定标准；</w:t>
      </w:r>
    </w:p>
    <w:p w14:paraId="2178DB60">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（5）甲方要求的标准。</w:t>
      </w:r>
    </w:p>
    <w:p w14:paraId="58ABD28F">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如前述标准条款约定不一致的，以要求更高、标准条款更严格的标准为准。</w:t>
      </w:r>
    </w:p>
    <w:p w14:paraId="106ECE20">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9、乙方负责家私的运输工作，乙方应为货物提供安全的运输和包装方式，并在业主约定时间内将货物运送指定地点（</w:t>
      </w:r>
      <w:r>
        <w:rPr>
          <w:rFonts w:hint="eastAsia" w:ascii="Times New Roman" w:hAnsi="Times New Roman" w:eastAsia="仿宋"/>
          <w:color w:val="auto"/>
          <w:sz w:val="32"/>
          <w:szCs w:val="32"/>
        </w:rPr>
        <w:t>深圳</w:t>
      </w:r>
      <w:r>
        <w:rPr>
          <w:rFonts w:ascii="Times New Roman" w:hAnsi="Times New Roman" w:eastAsia="仿宋" w:cs="Times New Roman"/>
          <w:color w:val="auto"/>
          <w:sz w:val="32"/>
          <w:szCs w:val="32"/>
        </w:rPr>
        <w:t>安联尚璟府-具体地点以业主房间为准），交付给业主。运输过程中，货物磕碰、损毁的风险由乙方承担。</w:t>
      </w:r>
    </w:p>
    <w:p w14:paraId="634AE36D">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10、乙方送货至业主指定地点后，应配合业主对家私品牌、规格</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型号</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、产品外观、数量或表面瑕疵等要素进行签收，业主确认后在送货单上签字作为结算依据。如非业主原因导致业主拒收的，乙方应配合进行更换等工作。</w:t>
      </w:r>
    </w:p>
    <w:p w14:paraId="66A11374">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11、乙方需提供全屋定制柜类的安装服务，安装位置、布局等要素以业主具体需求为准，安装完成且通过业主验收后，由乙方、业主、甲方共同签署三方验收单（详见附件</w:t>
      </w:r>
      <w:r>
        <w:rPr>
          <w:rFonts w:hint="eastAsia" w:ascii="Times New Roman" w:hAnsi="Times New Roman" w:eastAsia="仿宋" w:cs="Times New Roman"/>
          <w:color w:val="auto"/>
          <w:sz w:val="32"/>
          <w:szCs w:val="32"/>
          <w:lang w:val="en-US" w:eastAsia="zh-CN"/>
        </w:rPr>
        <w:t>5</w:t>
      </w:r>
      <w:r>
        <w:rPr>
          <w:rFonts w:ascii="Times New Roman" w:hAnsi="Times New Roman" w:eastAsia="仿宋" w:cs="Times New Roman"/>
          <w:color w:val="auto"/>
          <w:sz w:val="32"/>
          <w:szCs w:val="32"/>
        </w:rPr>
        <w:t>）作为结算依据。</w:t>
      </w:r>
    </w:p>
    <w:p w14:paraId="377C10C7">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12、如因乙方原因在全屋定制柜类搬运、安装过程中发生磕碰、损坏导致业主拒绝验收的，乙方应配合进行更换等工作。</w:t>
      </w:r>
    </w:p>
    <w:p w14:paraId="07332BEE">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13、乙方在交付货物的同时，应根据业主要求的时间和地点对业主进行产品的性能、使用、维护等情况进行讲解或培训。</w:t>
      </w:r>
    </w:p>
    <w:p w14:paraId="55EADEFA">
      <w:pPr>
        <w:spacing w:line="560" w:lineRule="exact"/>
        <w:ind w:firstLine="640" w:firstLineChars="200"/>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14、在合同履约期限内，如业主委托乙方提供超出单套采购清单范围外的产品或服务的，乙方对所产生费用需按合理价格进行计算并向业主提供费用明细。同时告知业主该费用须由业主自己承担。过程中不得发生欺诈、诱导、隐瞒、虚抬价格、以次充好等行为，若因上述问题而引发业主维权（包括但不限于业主要求更换新产品、退还多收费用、承担违约责任、赔偿损失等）的，乙方须积极协调解决并承担由此给甲方造成的全部损失及责任。情节严重的，甲方有权要求乙方支付合同总价款5%的违约金，并有权解除合同。</w:t>
      </w:r>
    </w:p>
    <w:p w14:paraId="15915B02">
      <w:pPr>
        <w:pStyle w:val="2"/>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15、合同签订后，乙方应按照合同清单约定的交付标准，完成两套样板房的制作。乙方完成制作后经甲方验收合格，该部分工作量全额计入当月付款产值。此外，为达成样板房的整体展示效果，乙方需进行部分区域氛围装饰，包括窗帘安装、客厅地毯铺设。</w:t>
      </w:r>
    </w:p>
    <w:p w14:paraId="74BDE741">
      <w:pPr>
        <w:spacing w:line="560" w:lineRule="exact"/>
        <w:ind w:firstLine="640" w:firstLineChars="20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五、费用收取及付款方式</w:t>
      </w:r>
    </w:p>
    <w:p w14:paraId="67AE8CF0">
      <w:pPr>
        <w:spacing w:line="560" w:lineRule="exact"/>
        <w:ind w:firstLine="64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z w:val="32"/>
          <w:szCs w:val="32"/>
        </w:rPr>
        <w:t xml:space="preserve"> 1、</w:t>
      </w:r>
      <w:r>
        <w:rPr>
          <w:rFonts w:ascii="Times New Roman" w:hAnsi="Times New Roman" w:eastAsia="仿宋" w:cs="Times New Roman"/>
          <w:color w:val="auto"/>
          <w:spacing w:val="20"/>
          <w:sz w:val="32"/>
          <w:szCs w:val="32"/>
        </w:rPr>
        <w:t>本合同为单价合同，单次付款金额以甲方下单的单套家私的单价、数量为准进行核算。本合同暂定总价：人民币</w:t>
      </w:r>
      <w:r>
        <w:rPr>
          <w:rFonts w:ascii="Times New Roman" w:hAnsi="Times New Roman" w:eastAsia="仿宋" w:cs="Times New Roman"/>
          <w:color w:val="auto"/>
          <w:spacing w:val="20"/>
          <w:sz w:val="32"/>
          <w:szCs w:val="32"/>
          <w:u w:val="single"/>
        </w:rPr>
        <w:t xml:space="preserve">     </w:t>
      </w:r>
      <w:r>
        <w:rPr>
          <w:rFonts w:ascii="Times New Roman" w:hAnsi="Times New Roman" w:eastAsia="仿宋" w:cs="Times New Roman"/>
          <w:color w:val="auto"/>
          <w:spacing w:val="20"/>
          <w:sz w:val="32"/>
          <w:szCs w:val="32"/>
        </w:rPr>
        <w:t>元，小写¥</w:t>
      </w:r>
      <w:r>
        <w:rPr>
          <w:rFonts w:ascii="Times New Roman" w:hAnsi="Times New Roman" w:eastAsia="仿宋" w:cs="Times New Roman"/>
          <w:color w:val="auto"/>
          <w:spacing w:val="20"/>
          <w:sz w:val="32"/>
          <w:szCs w:val="32"/>
          <w:u w:val="single"/>
        </w:rPr>
        <w:t xml:space="preserve">     </w:t>
      </w:r>
      <w:r>
        <w:rPr>
          <w:rFonts w:ascii="Times New Roman" w:hAnsi="Times New Roman" w:eastAsia="仿宋" w:cs="Times New Roman"/>
          <w:color w:val="auto"/>
          <w:spacing w:val="20"/>
          <w:sz w:val="32"/>
          <w:szCs w:val="32"/>
        </w:rPr>
        <w:t>，（其中不含增值税价为¥</w:t>
      </w:r>
      <w:r>
        <w:rPr>
          <w:rFonts w:ascii="Times New Roman" w:hAnsi="Times New Roman" w:eastAsia="仿宋" w:cs="Times New Roman"/>
          <w:color w:val="auto"/>
          <w:spacing w:val="20"/>
          <w:sz w:val="32"/>
          <w:szCs w:val="32"/>
          <w:u w:val="single"/>
        </w:rPr>
        <w:t xml:space="preserve">      </w:t>
      </w:r>
      <w:r>
        <w:rPr>
          <w:rFonts w:ascii="Times New Roman" w:hAnsi="Times New Roman" w:eastAsia="仿宋" w:cs="Times New Roman"/>
          <w:color w:val="auto"/>
          <w:spacing w:val="20"/>
          <w:sz w:val="32"/>
          <w:szCs w:val="32"/>
        </w:rPr>
        <w:t>，增值税税率为</w:t>
      </w:r>
      <w:r>
        <w:rPr>
          <w:rFonts w:ascii="Times New Roman" w:hAnsi="Times New Roman" w:eastAsia="仿宋" w:cs="Times New Roman"/>
          <w:color w:val="auto"/>
          <w:spacing w:val="20"/>
          <w:sz w:val="32"/>
          <w:szCs w:val="32"/>
          <w:u w:val="single"/>
        </w:rPr>
        <w:t xml:space="preserve">  </w:t>
      </w:r>
      <w:r>
        <w:rPr>
          <w:rFonts w:ascii="Times New Roman" w:hAnsi="Times New Roman" w:eastAsia="仿宋" w:cs="Times New Roman"/>
          <w:color w:val="auto"/>
          <w:spacing w:val="20"/>
          <w:sz w:val="32"/>
          <w:szCs w:val="32"/>
        </w:rPr>
        <w:t>%，税额为¥</w:t>
      </w:r>
      <w:r>
        <w:rPr>
          <w:rFonts w:ascii="Times New Roman" w:hAnsi="Times New Roman" w:eastAsia="仿宋" w:cs="Times New Roman"/>
          <w:color w:val="auto"/>
          <w:spacing w:val="20"/>
          <w:sz w:val="32"/>
          <w:szCs w:val="32"/>
          <w:u w:val="single"/>
        </w:rPr>
        <w:t xml:space="preserve">    </w:t>
      </w:r>
      <w:r>
        <w:rPr>
          <w:rFonts w:ascii="Times New Roman" w:hAnsi="Times New Roman" w:eastAsia="仿宋" w:cs="Times New Roman"/>
          <w:color w:val="auto"/>
          <w:spacing w:val="20"/>
          <w:sz w:val="32"/>
          <w:szCs w:val="32"/>
        </w:rPr>
        <w:t>）单套家私含税金额：人民币</w:t>
      </w:r>
      <w:r>
        <w:rPr>
          <w:rFonts w:ascii="Times New Roman" w:hAnsi="Times New Roman" w:eastAsia="仿宋" w:cs="Times New Roman"/>
          <w:color w:val="auto"/>
          <w:spacing w:val="20"/>
          <w:sz w:val="32"/>
          <w:szCs w:val="32"/>
          <w:u w:val="single"/>
        </w:rPr>
        <w:t xml:space="preserve">     </w:t>
      </w:r>
      <w:r>
        <w:rPr>
          <w:rFonts w:ascii="Times New Roman" w:hAnsi="Times New Roman" w:eastAsia="仿宋" w:cs="Times New Roman"/>
          <w:color w:val="auto"/>
          <w:spacing w:val="20"/>
          <w:sz w:val="32"/>
          <w:szCs w:val="32"/>
        </w:rPr>
        <w:t>元，小写¥</w:t>
      </w:r>
      <w:r>
        <w:rPr>
          <w:rFonts w:ascii="Times New Roman" w:hAnsi="Times New Roman" w:eastAsia="仿宋" w:cs="Times New Roman"/>
          <w:color w:val="auto"/>
          <w:spacing w:val="20"/>
          <w:sz w:val="32"/>
          <w:szCs w:val="32"/>
          <w:u w:val="single"/>
        </w:rPr>
        <w:t xml:space="preserve">     </w:t>
      </w:r>
      <w:r>
        <w:rPr>
          <w:rFonts w:ascii="Times New Roman" w:hAnsi="Times New Roman" w:eastAsia="仿宋" w:cs="Times New Roman"/>
          <w:color w:val="auto"/>
          <w:spacing w:val="20"/>
          <w:sz w:val="32"/>
          <w:szCs w:val="32"/>
        </w:rPr>
        <w:t>。（单套家私包含：沙发组</w:t>
      </w:r>
      <w:r>
        <w:rPr>
          <w:rFonts w:hint="eastAsia" w:ascii="Times New Roman" w:hAnsi="Times New Roman" w:eastAsia="仿宋" w:cs="Times New Roman"/>
          <w:color w:val="auto"/>
          <w:spacing w:val="20"/>
          <w:sz w:val="32"/>
          <w:szCs w:val="32"/>
          <w:lang w:eastAsia="zh-CN"/>
        </w:rPr>
        <w:t>、</w:t>
      </w:r>
      <w:r>
        <w:rPr>
          <w:rFonts w:ascii="Times New Roman" w:hAnsi="Times New Roman" w:eastAsia="仿宋" w:cs="Times New Roman"/>
          <w:color w:val="auto"/>
          <w:spacing w:val="20"/>
          <w:sz w:val="32"/>
          <w:szCs w:val="32"/>
        </w:rPr>
        <w:t>餐桌</w:t>
      </w:r>
      <w:r>
        <w:rPr>
          <w:rFonts w:hint="eastAsia" w:ascii="Times New Roman" w:hAnsi="Times New Roman" w:eastAsia="仿宋" w:cs="Times New Roman"/>
          <w:color w:val="auto"/>
          <w:spacing w:val="20"/>
          <w:sz w:val="32"/>
          <w:szCs w:val="32"/>
          <w:lang w:eastAsia="zh-CN"/>
        </w:rPr>
        <w:t>、</w:t>
      </w:r>
      <w:r>
        <w:rPr>
          <w:rFonts w:ascii="Times New Roman" w:hAnsi="Times New Roman" w:eastAsia="仿宋" w:cs="Times New Roman"/>
          <w:color w:val="auto"/>
          <w:spacing w:val="20"/>
          <w:sz w:val="32"/>
          <w:szCs w:val="32"/>
        </w:rPr>
        <w:t>餐椅</w:t>
      </w:r>
      <w:r>
        <w:rPr>
          <w:rFonts w:hint="eastAsia" w:ascii="Times New Roman" w:hAnsi="Times New Roman" w:eastAsia="仿宋" w:cs="Times New Roman"/>
          <w:color w:val="auto"/>
          <w:spacing w:val="20"/>
          <w:sz w:val="32"/>
          <w:szCs w:val="32"/>
          <w:lang w:eastAsia="zh-CN"/>
        </w:rPr>
        <w:t>、</w:t>
      </w:r>
      <w:r>
        <w:rPr>
          <w:rFonts w:ascii="Times New Roman" w:hAnsi="Times New Roman" w:eastAsia="仿宋" w:cs="Times New Roman"/>
          <w:color w:val="auto"/>
          <w:spacing w:val="20"/>
          <w:sz w:val="32"/>
          <w:szCs w:val="32"/>
        </w:rPr>
        <w:t>主卧床</w:t>
      </w:r>
      <w:r>
        <w:rPr>
          <w:rFonts w:hint="eastAsia" w:ascii="Times New Roman" w:hAnsi="Times New Roman" w:eastAsia="仿宋" w:cs="Times New Roman"/>
          <w:color w:val="auto"/>
          <w:spacing w:val="20"/>
          <w:sz w:val="32"/>
          <w:szCs w:val="32"/>
          <w:lang w:eastAsia="zh-CN"/>
        </w:rPr>
        <w:t>、</w:t>
      </w:r>
      <w:r>
        <w:rPr>
          <w:rFonts w:ascii="Times New Roman" w:hAnsi="Times New Roman" w:eastAsia="仿宋" w:cs="Times New Roman"/>
          <w:color w:val="auto"/>
          <w:spacing w:val="20"/>
          <w:sz w:val="32"/>
          <w:szCs w:val="32"/>
        </w:rPr>
        <w:t>次卧床</w:t>
      </w:r>
      <w:r>
        <w:rPr>
          <w:rFonts w:hint="eastAsia" w:ascii="Times New Roman" w:hAnsi="Times New Roman" w:eastAsia="仿宋" w:cs="Times New Roman"/>
          <w:color w:val="auto"/>
          <w:spacing w:val="20"/>
          <w:sz w:val="32"/>
          <w:szCs w:val="32"/>
          <w:lang w:eastAsia="zh-CN"/>
        </w:rPr>
        <w:t>、</w:t>
      </w:r>
      <w:r>
        <w:rPr>
          <w:rFonts w:hint="eastAsia" w:ascii="Times New Roman" w:hAnsi="Times New Roman" w:eastAsia="仿宋" w:cs="Times New Roman"/>
          <w:color w:val="auto"/>
          <w:spacing w:val="20"/>
          <w:sz w:val="32"/>
          <w:szCs w:val="32"/>
          <w:lang w:val="en-US" w:eastAsia="zh-CN"/>
        </w:rPr>
        <w:t>床头柜、</w:t>
      </w:r>
      <w:r>
        <w:rPr>
          <w:rFonts w:ascii="Times New Roman" w:hAnsi="Times New Roman" w:eastAsia="仿宋" w:cs="Times New Roman"/>
          <w:color w:val="auto"/>
          <w:spacing w:val="20"/>
          <w:sz w:val="32"/>
          <w:szCs w:val="32"/>
        </w:rPr>
        <w:t>全屋定制柜类</w:t>
      </w:r>
      <w:r>
        <w:rPr>
          <w:rFonts w:hint="eastAsia" w:ascii="Times New Roman" w:hAnsi="Times New Roman" w:eastAsia="仿宋" w:cs="Times New Roman"/>
          <w:color w:val="auto"/>
          <w:spacing w:val="20"/>
          <w:sz w:val="32"/>
          <w:szCs w:val="32"/>
          <w:lang w:eastAsia="zh-CN"/>
        </w:rPr>
        <w:t>，</w:t>
      </w:r>
      <w:r>
        <w:rPr>
          <w:rFonts w:hint="eastAsia" w:ascii="Times New Roman" w:hAnsi="Times New Roman" w:eastAsia="仿宋" w:cs="Times New Roman"/>
          <w:color w:val="auto"/>
          <w:spacing w:val="20"/>
          <w:sz w:val="32"/>
          <w:szCs w:val="32"/>
          <w:lang w:val="en-US" w:eastAsia="zh-CN"/>
        </w:rPr>
        <w:t>具体以清单为准</w:t>
      </w:r>
      <w:r>
        <w:rPr>
          <w:rFonts w:ascii="Times New Roman" w:hAnsi="Times New Roman" w:eastAsia="仿宋" w:cs="Times New Roman"/>
          <w:color w:val="auto"/>
          <w:spacing w:val="20"/>
          <w:sz w:val="32"/>
          <w:szCs w:val="32"/>
        </w:rPr>
        <w:t>）。</w:t>
      </w:r>
    </w:p>
    <w:p w14:paraId="7C343B9C">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2、各项家私单价详见附件</w:t>
      </w:r>
      <w:r>
        <w:rPr>
          <w:rFonts w:hint="eastAsia" w:ascii="Times New Roman" w:hAnsi="Times New Roman" w:eastAsia="仿宋" w:cs="Times New Roman"/>
          <w:color w:val="auto"/>
          <w:spacing w:val="20"/>
          <w:sz w:val="32"/>
          <w:szCs w:val="32"/>
          <w:lang w:val="en-US" w:eastAsia="zh-CN"/>
        </w:rPr>
        <w:t>4</w:t>
      </w:r>
      <w:r>
        <w:rPr>
          <w:rFonts w:ascii="Times New Roman" w:hAnsi="Times New Roman" w:eastAsia="仿宋" w:cs="Times New Roman"/>
          <w:color w:val="auto"/>
          <w:spacing w:val="20"/>
          <w:sz w:val="32"/>
          <w:szCs w:val="32"/>
        </w:rPr>
        <w:t>，此单价已经包含乙方为履行本合同内容所花费的货物的原材料、生产、包装、运输、保险、装卸货、垂直运输、安装及所需的附属材料、报检验收、材料损耗、管理费、利润、税费等一切相关费用，在合同期间内，此单价不因任何因素而变动。</w:t>
      </w:r>
    </w:p>
    <w:p w14:paraId="3870605F">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3、甲方可按需求自由选择清单中同品类家私的不同材质进行下单，同品类家私的单价不因材质的不同而变动。</w:t>
      </w:r>
    </w:p>
    <w:p w14:paraId="471558D4">
      <w:pPr>
        <w:spacing w:line="560" w:lineRule="exact"/>
        <w:ind w:firstLine="720" w:firstLineChars="200"/>
        <w:rPr>
          <w:rFonts w:ascii="Times New Roman" w:hAnsi="Times New Roman" w:eastAsia="仿宋" w:cs="Times New Roman"/>
          <w:color w:val="auto"/>
          <w:spacing w:val="20"/>
          <w:sz w:val="32"/>
          <w:szCs w:val="32"/>
        </w:rPr>
      </w:pPr>
      <w:r>
        <w:rPr>
          <w:rFonts w:hint="eastAsia" w:ascii="Times New Roman" w:hAnsi="Times New Roman" w:eastAsia="仿宋" w:cs="Times New Roman"/>
          <w:color w:val="auto"/>
          <w:spacing w:val="20"/>
          <w:sz w:val="32"/>
          <w:szCs w:val="32"/>
          <w:lang w:val="en-US" w:eastAsia="zh-CN"/>
        </w:rPr>
        <w:t>4、</w:t>
      </w:r>
      <w:r>
        <w:rPr>
          <w:rFonts w:ascii="Times New Roman" w:hAnsi="Times New Roman" w:eastAsia="仿宋" w:cs="Times New Roman"/>
          <w:color w:val="auto"/>
          <w:spacing w:val="20"/>
          <w:sz w:val="32"/>
          <w:szCs w:val="32"/>
        </w:rPr>
        <w:t>乙方按照业主要求完成家</w:t>
      </w:r>
      <w:r>
        <w:rPr>
          <w:rFonts w:hint="eastAsia" w:ascii="Times New Roman" w:hAnsi="Times New Roman" w:eastAsia="仿宋" w:cs="Times New Roman"/>
          <w:color w:val="auto"/>
          <w:spacing w:val="20"/>
          <w:sz w:val="32"/>
          <w:szCs w:val="32"/>
          <w:lang w:val="en-US" w:eastAsia="zh-CN"/>
        </w:rPr>
        <w:t>具套装的</w:t>
      </w:r>
      <w:r>
        <w:rPr>
          <w:rFonts w:ascii="Times New Roman" w:hAnsi="Times New Roman" w:eastAsia="仿宋" w:cs="Times New Roman"/>
          <w:color w:val="auto"/>
          <w:sz w:val="32"/>
          <w:szCs w:val="32"/>
        </w:rPr>
        <w:t>安装工作，经乙方、业主、甲方验收后</w:t>
      </w:r>
      <w:r>
        <w:rPr>
          <w:rFonts w:ascii="Times New Roman" w:hAnsi="Times New Roman" w:eastAsia="仿宋" w:cs="Times New Roman"/>
          <w:color w:val="auto"/>
          <w:spacing w:val="20"/>
          <w:sz w:val="32"/>
          <w:szCs w:val="32"/>
        </w:rPr>
        <w:t>（需提供</w:t>
      </w:r>
      <w:r>
        <w:rPr>
          <w:rFonts w:ascii="Times New Roman" w:hAnsi="Times New Roman" w:eastAsia="仿宋" w:cs="Times New Roman"/>
          <w:color w:val="auto"/>
          <w:sz w:val="32"/>
          <w:szCs w:val="32"/>
        </w:rPr>
        <w:t>由乙方、业主、甲方共同签署三方验收单</w:t>
      </w:r>
      <w:r>
        <w:rPr>
          <w:rFonts w:ascii="Times New Roman" w:hAnsi="Times New Roman" w:eastAsia="仿宋" w:cs="Times New Roman"/>
          <w:color w:val="auto"/>
          <w:spacing w:val="20"/>
          <w:sz w:val="32"/>
          <w:szCs w:val="32"/>
        </w:rPr>
        <w:t>）</w:t>
      </w:r>
      <w:r>
        <w:rPr>
          <w:rFonts w:ascii="Times New Roman" w:hAnsi="Times New Roman" w:eastAsia="仿宋" w:cs="Times New Roman"/>
          <w:color w:val="auto"/>
          <w:sz w:val="32"/>
          <w:szCs w:val="32"/>
        </w:rPr>
        <w:t>，甲方向</w:t>
      </w:r>
      <w:r>
        <w:rPr>
          <w:rFonts w:ascii="Times New Roman" w:hAnsi="Times New Roman" w:eastAsia="仿宋" w:cs="Times New Roman"/>
          <w:color w:val="auto"/>
          <w:spacing w:val="20"/>
          <w:sz w:val="32"/>
          <w:szCs w:val="32"/>
        </w:rPr>
        <w:t>乙方支付至该批次单套家私金额的</w:t>
      </w:r>
      <w:r>
        <w:rPr>
          <w:rFonts w:hint="eastAsia" w:ascii="Times New Roman" w:hAnsi="Times New Roman" w:eastAsia="仿宋" w:cs="Times New Roman"/>
          <w:color w:val="auto"/>
          <w:spacing w:val="20"/>
          <w:sz w:val="32"/>
          <w:szCs w:val="32"/>
          <w:lang w:val="en-US" w:eastAsia="zh-CN"/>
        </w:rPr>
        <w:t>100</w:t>
      </w:r>
      <w:r>
        <w:rPr>
          <w:rFonts w:ascii="Times New Roman" w:hAnsi="Times New Roman" w:eastAsia="仿宋" w:cs="Times New Roman"/>
          <w:color w:val="auto"/>
          <w:spacing w:val="20"/>
          <w:sz w:val="32"/>
          <w:szCs w:val="32"/>
        </w:rPr>
        <w:t>%</w:t>
      </w:r>
    </w:p>
    <w:p w14:paraId="245E33E2">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5、本合同采用月结方式付款，甲乙双方于每月月初核对上月下单的家</w:t>
      </w:r>
      <w:r>
        <w:rPr>
          <w:rFonts w:hint="eastAsia" w:ascii="Times New Roman" w:hAnsi="Times New Roman" w:eastAsia="仿宋" w:cs="Times New Roman"/>
          <w:color w:val="auto"/>
          <w:spacing w:val="20"/>
          <w:sz w:val="32"/>
          <w:szCs w:val="32"/>
          <w:lang w:val="en-US" w:eastAsia="zh-CN"/>
        </w:rPr>
        <w:t>具套装验收单</w:t>
      </w:r>
      <w:r>
        <w:rPr>
          <w:rFonts w:ascii="Times New Roman" w:hAnsi="Times New Roman" w:eastAsia="仿宋" w:cs="Times New Roman"/>
          <w:color w:val="auto"/>
          <w:spacing w:val="20"/>
          <w:sz w:val="32"/>
          <w:szCs w:val="32"/>
        </w:rPr>
        <w:t>，双方核对确认无误后，甲方履行付款义务。</w:t>
      </w:r>
    </w:p>
    <w:p w14:paraId="189286C1">
      <w:pPr>
        <w:spacing w:line="560" w:lineRule="exact"/>
        <w:ind w:firstLine="720" w:firstLineChars="200"/>
        <w:rPr>
          <w:rFonts w:ascii="Times New Roman" w:hAnsi="Times New Roman" w:eastAsia="仿宋" w:cs="Times New Roman"/>
          <w:b/>
          <w:bCs/>
          <w:color w:val="auto"/>
          <w:kern w:val="0"/>
          <w:sz w:val="32"/>
          <w:szCs w:val="32"/>
        </w:rPr>
      </w:pPr>
      <w:r>
        <w:rPr>
          <w:rFonts w:ascii="Times New Roman" w:hAnsi="Times New Roman" w:eastAsia="仿宋" w:cs="Times New Roman"/>
          <w:color w:val="auto"/>
          <w:spacing w:val="20"/>
          <w:sz w:val="32"/>
          <w:szCs w:val="32"/>
        </w:rPr>
        <w:t>6、甲方每次付款前，乙方需提供有效的等额增值税专用发票和三方验收单及其他相关材料，甲方在收到上述材料后15个工作日安排付款，如因乙方延迟请款、未能提供有效发票，或提供的请款材料存在瑕疵导致甲方未能在约定时间付款的，后果由乙方自行承担。</w:t>
      </w:r>
    </w:p>
    <w:p w14:paraId="00BE77C3">
      <w:pPr>
        <w:spacing w:line="560" w:lineRule="exact"/>
        <w:ind w:firstLine="640" w:firstLineChars="200"/>
        <w:rPr>
          <w:rFonts w:ascii="Times New Roman" w:hAnsi="Times New Roman" w:eastAsia="仿宋" w:cs="Times New Roman"/>
          <w:b/>
          <w:bCs/>
          <w:color w:val="auto"/>
          <w:kern w:val="0"/>
          <w:sz w:val="32"/>
          <w:szCs w:val="32"/>
        </w:rPr>
      </w:pPr>
      <w:r>
        <w:rPr>
          <w:rFonts w:ascii="Times New Roman" w:hAnsi="Times New Roman" w:eastAsia="仿宋" w:cs="Times New Roman"/>
          <w:b/>
          <w:bCs/>
          <w:color w:val="auto"/>
          <w:kern w:val="0"/>
          <w:sz w:val="32"/>
          <w:szCs w:val="32"/>
        </w:rPr>
        <w:t>六、违约责任</w:t>
      </w:r>
    </w:p>
    <w:p w14:paraId="0E950AEB">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1、乙方未按甲方要求提供家私的，甲方有权要求乙方予以更换；乙方拒绝更换或更换后仍不符合本合同约定的，甲方有权解除本合同，且乙方应按照合同总价的</w:t>
      </w:r>
      <w:r>
        <w:rPr>
          <w:rFonts w:hint="eastAsia" w:ascii="Times New Roman" w:hAnsi="Times New Roman" w:eastAsia="仿宋" w:cs="Times New Roman"/>
          <w:color w:val="auto"/>
          <w:spacing w:val="20"/>
          <w:sz w:val="32"/>
          <w:szCs w:val="32"/>
          <w:lang w:val="en-US" w:eastAsia="zh-CN"/>
        </w:rPr>
        <w:t>1</w:t>
      </w:r>
      <w:r>
        <w:rPr>
          <w:rFonts w:ascii="Times New Roman" w:hAnsi="Times New Roman" w:eastAsia="仿宋" w:cs="Times New Roman"/>
          <w:color w:val="auto"/>
          <w:spacing w:val="20"/>
          <w:sz w:val="32"/>
          <w:szCs w:val="32"/>
        </w:rPr>
        <w:t>0%向甲方支付违约金。如在合同期间内发生2次上述情况，甲方有权单方面解除合同，并不承担任何后果。</w:t>
      </w:r>
    </w:p>
    <w:p w14:paraId="54679F99">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2、甲方有义务在乙方交付家私后按照合同约定支付相关费用，但因乙方未提供等额并完税的有效增值税发票或甲方要求的其他材料、乙方货物不达标导致甲方付款延期的除外。</w:t>
      </w:r>
    </w:p>
    <w:p w14:paraId="47C648E4">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3、双方违反商业保密条款的应按本合同总价10%向对方支付违约金。</w:t>
      </w:r>
    </w:p>
    <w:p w14:paraId="4D7DA36B">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4、乙方未在甲方</w:t>
      </w:r>
      <w:r>
        <w:rPr>
          <w:rFonts w:hint="eastAsia" w:ascii="Times New Roman" w:hAnsi="Times New Roman" w:eastAsia="仿宋" w:cs="Times New Roman"/>
          <w:color w:val="auto"/>
          <w:spacing w:val="20"/>
          <w:sz w:val="32"/>
          <w:szCs w:val="32"/>
          <w:lang w:val="en-US" w:eastAsia="zh-CN"/>
        </w:rPr>
        <w:t>/业主</w:t>
      </w:r>
      <w:r>
        <w:rPr>
          <w:rFonts w:ascii="Times New Roman" w:hAnsi="Times New Roman" w:eastAsia="仿宋" w:cs="Times New Roman"/>
          <w:color w:val="auto"/>
          <w:spacing w:val="20"/>
          <w:sz w:val="32"/>
          <w:szCs w:val="32"/>
        </w:rPr>
        <w:t>规定时间内，完成家私排产、包装、送货、安装的，每延期一天，向甲方支付5000元违约金，且由此造成甲方项目的损失由乙方承担。如在合同期间内发生2次上述情况，甲方有权单方面解除合同，并不承担任何后果。</w:t>
      </w:r>
    </w:p>
    <w:p w14:paraId="66547EFD">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5、本合同履行期间，非对方违约，任意一方要求终止或解除合同的，则违约方应按照合同总价的</w:t>
      </w:r>
      <w:r>
        <w:rPr>
          <w:rFonts w:hint="eastAsia" w:ascii="Times New Roman" w:hAnsi="Times New Roman" w:eastAsia="仿宋" w:cs="Times New Roman"/>
          <w:color w:val="auto"/>
          <w:spacing w:val="20"/>
          <w:sz w:val="32"/>
          <w:szCs w:val="32"/>
          <w:lang w:val="en-US" w:eastAsia="zh-CN"/>
        </w:rPr>
        <w:t>1</w:t>
      </w:r>
      <w:r>
        <w:rPr>
          <w:rFonts w:ascii="Times New Roman" w:hAnsi="Times New Roman" w:eastAsia="仿宋" w:cs="Times New Roman"/>
          <w:color w:val="auto"/>
          <w:spacing w:val="20"/>
          <w:sz w:val="32"/>
          <w:szCs w:val="32"/>
        </w:rPr>
        <w:t>0%向对方支付违约金。</w:t>
      </w:r>
    </w:p>
    <w:p w14:paraId="1F3CFD2A">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6、甲乙双方禁止转让、部分转让合同权利义务给第三方，否则，对方有权解除合同，违约方承担合同总价</w:t>
      </w:r>
      <w:r>
        <w:rPr>
          <w:rFonts w:hint="eastAsia" w:ascii="Times New Roman" w:hAnsi="Times New Roman" w:eastAsia="仿宋" w:cs="Times New Roman"/>
          <w:color w:val="auto"/>
          <w:spacing w:val="20"/>
          <w:sz w:val="32"/>
          <w:szCs w:val="32"/>
          <w:lang w:val="en-US" w:eastAsia="zh-CN"/>
        </w:rPr>
        <w:t>1</w:t>
      </w:r>
      <w:r>
        <w:rPr>
          <w:rFonts w:ascii="Times New Roman" w:hAnsi="Times New Roman" w:eastAsia="仿宋" w:cs="Times New Roman"/>
          <w:color w:val="auto"/>
          <w:spacing w:val="20"/>
          <w:sz w:val="32"/>
          <w:szCs w:val="32"/>
        </w:rPr>
        <w:t>0%的违约金。</w:t>
      </w:r>
    </w:p>
    <w:p w14:paraId="0FDBCAA1">
      <w:pPr>
        <w:spacing w:line="560" w:lineRule="exact"/>
        <w:ind w:firstLine="720" w:firstLineChars="200"/>
        <w:rPr>
          <w:rFonts w:ascii="Times New Roman" w:hAnsi="Times New Roman" w:eastAsia="宋体" w:cs="Times New Roman"/>
          <w:color w:val="auto"/>
        </w:rPr>
      </w:pPr>
      <w:r>
        <w:rPr>
          <w:rFonts w:ascii="Times New Roman" w:hAnsi="Times New Roman" w:eastAsia="仿宋" w:cs="Times New Roman"/>
          <w:color w:val="auto"/>
          <w:spacing w:val="20"/>
          <w:sz w:val="32"/>
          <w:szCs w:val="32"/>
        </w:rPr>
        <w:t>7、如甲方使用乙方货物构成侵权的，无论是对甲方及业主还是第三方造成任何人身或者财产损害的，由乙方承担全部赔偿责任，包括但不限于甲方及业主承担的损失、垫付的费用、维权支出的律师费、鉴定费、诉讼费、仲裁费、保全费、担保服务费、交通费等费用。</w:t>
      </w:r>
    </w:p>
    <w:p w14:paraId="10FE18D5">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Times New Roman" w:hAnsi="Times New Roman" w:eastAsia="仿宋" w:cs="Times New Roman"/>
          <w:b/>
          <w:bCs/>
          <w:color w:val="auto"/>
          <w:kern w:val="0"/>
          <w:sz w:val="32"/>
          <w:szCs w:val="32"/>
        </w:rPr>
      </w:pPr>
      <w:r>
        <w:rPr>
          <w:rFonts w:hint="eastAsia" w:ascii="Times New Roman" w:hAnsi="Times New Roman" w:eastAsia="仿宋" w:cs="Times New Roman"/>
          <w:b/>
          <w:bCs/>
          <w:color w:val="auto"/>
          <w:kern w:val="0"/>
          <w:sz w:val="32"/>
          <w:szCs w:val="32"/>
        </w:rPr>
        <w:t xml:space="preserve"> </w:t>
      </w:r>
      <w:r>
        <w:rPr>
          <w:rFonts w:hint="eastAsia" w:ascii="Times New Roman" w:hAnsi="Times New Roman" w:eastAsia="仿宋" w:cs="Times New Roman"/>
          <w:b/>
          <w:bCs/>
          <w:color w:val="auto"/>
          <w:kern w:val="0"/>
          <w:sz w:val="32"/>
          <w:szCs w:val="32"/>
          <w:lang w:val="en-US" w:eastAsia="zh-CN"/>
        </w:rPr>
        <w:t>七、</w:t>
      </w:r>
      <w:r>
        <w:rPr>
          <w:rFonts w:hint="eastAsia" w:ascii="Times New Roman" w:hAnsi="Times New Roman" w:eastAsia="仿宋" w:cs="Times New Roman"/>
          <w:b/>
          <w:bCs/>
          <w:color w:val="auto"/>
          <w:kern w:val="0"/>
          <w:sz w:val="32"/>
          <w:szCs w:val="32"/>
        </w:rPr>
        <w:t>履约保证金</w:t>
      </w:r>
    </w:p>
    <w:p w14:paraId="4F5BDD68">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 w:cs="Times New Roman"/>
          <w:color w:val="auto"/>
          <w:spacing w:val="20"/>
          <w:sz w:val="32"/>
          <w:szCs w:val="32"/>
        </w:rPr>
      </w:pPr>
      <w:r>
        <w:rPr>
          <w:rFonts w:hint="eastAsia" w:ascii="Times New Roman" w:hAnsi="Times New Roman" w:eastAsia="仿宋" w:cs="Times New Roman"/>
          <w:color w:val="auto"/>
          <w:spacing w:val="20"/>
          <w:sz w:val="32"/>
          <w:szCs w:val="32"/>
          <w:lang w:val="en-US" w:eastAsia="zh-CN"/>
        </w:rPr>
        <w:t>1、</w:t>
      </w:r>
      <w:r>
        <w:rPr>
          <w:rFonts w:hint="eastAsia" w:ascii="Times New Roman" w:hAnsi="Times New Roman" w:eastAsia="仿宋" w:cs="Times New Roman"/>
          <w:color w:val="auto"/>
          <w:spacing w:val="20"/>
          <w:sz w:val="32"/>
          <w:szCs w:val="32"/>
        </w:rPr>
        <w:t>是否提供履约保证金：</w:t>
      </w:r>
      <w:r>
        <w:rPr>
          <w:rFonts w:hint="eastAsia" w:ascii="Times New Roman" w:hAnsi="Times New Roman" w:eastAsia="仿宋" w:cs="Times New Roman"/>
          <w:color w:val="auto"/>
          <w:spacing w:val="20"/>
          <w:sz w:val="32"/>
          <w:szCs w:val="32"/>
          <w:u w:val="single"/>
        </w:rPr>
        <w:t xml:space="preserve"> 是 </w:t>
      </w:r>
      <w:r>
        <w:rPr>
          <w:rFonts w:hint="eastAsia" w:ascii="Times New Roman" w:hAnsi="Times New Roman" w:eastAsia="仿宋" w:cs="Times New Roman"/>
          <w:color w:val="auto"/>
          <w:spacing w:val="20"/>
          <w:sz w:val="32"/>
          <w:szCs w:val="32"/>
        </w:rPr>
        <w:t>。</w:t>
      </w:r>
    </w:p>
    <w:p w14:paraId="297A6439">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 w:cs="Times New Roman"/>
          <w:color w:val="auto"/>
          <w:spacing w:val="20"/>
          <w:sz w:val="32"/>
          <w:szCs w:val="32"/>
        </w:rPr>
      </w:pPr>
      <w:r>
        <w:rPr>
          <w:rFonts w:hint="eastAsia" w:ascii="Times New Roman" w:hAnsi="Times New Roman" w:eastAsia="仿宋" w:cs="Times New Roman"/>
          <w:color w:val="auto"/>
          <w:spacing w:val="20"/>
          <w:sz w:val="32"/>
          <w:szCs w:val="32"/>
          <w:lang w:val="en-US" w:eastAsia="zh-CN"/>
        </w:rPr>
        <w:t>2、</w:t>
      </w:r>
      <w:r>
        <w:rPr>
          <w:rFonts w:hint="eastAsia" w:ascii="Times New Roman" w:hAnsi="Times New Roman" w:eastAsia="仿宋" w:cs="Times New Roman"/>
          <w:color w:val="auto"/>
          <w:spacing w:val="20"/>
          <w:sz w:val="32"/>
          <w:szCs w:val="32"/>
        </w:rPr>
        <w:t>履约保证金金额：</w:t>
      </w:r>
      <w:r>
        <w:rPr>
          <w:rFonts w:hint="eastAsia" w:ascii="Times New Roman" w:hAnsi="Times New Roman" w:eastAsia="仿宋" w:cs="Times New Roman"/>
          <w:color w:val="auto"/>
          <w:spacing w:val="20"/>
          <w:sz w:val="32"/>
          <w:szCs w:val="32"/>
          <w:u w:val="single"/>
        </w:rPr>
        <w:t xml:space="preserve"> </w:t>
      </w:r>
      <w:r>
        <w:rPr>
          <w:rFonts w:hint="eastAsia" w:ascii="Times New Roman" w:hAnsi="Times New Roman" w:eastAsia="仿宋" w:cs="Times New Roman"/>
          <w:color w:val="auto"/>
          <w:spacing w:val="20"/>
          <w:sz w:val="32"/>
          <w:szCs w:val="32"/>
          <w:u w:val="single"/>
          <w:lang w:val="en-US" w:eastAsia="zh-CN"/>
        </w:rPr>
        <w:t>3</w:t>
      </w:r>
      <w:r>
        <w:rPr>
          <w:rFonts w:hint="eastAsia" w:ascii="Times New Roman" w:hAnsi="Times New Roman" w:eastAsia="仿宋" w:cs="Times New Roman"/>
          <w:color w:val="auto"/>
          <w:spacing w:val="20"/>
          <w:sz w:val="32"/>
          <w:szCs w:val="32"/>
          <w:u w:val="single"/>
        </w:rPr>
        <w:t xml:space="preserve"> </w:t>
      </w:r>
      <w:r>
        <w:rPr>
          <w:rFonts w:hint="eastAsia" w:ascii="Times New Roman" w:hAnsi="Times New Roman" w:eastAsia="仿宋" w:cs="Times New Roman"/>
          <w:color w:val="auto"/>
          <w:spacing w:val="20"/>
          <w:sz w:val="32"/>
          <w:szCs w:val="32"/>
        </w:rPr>
        <w:t>万元</w:t>
      </w:r>
      <w:r>
        <w:rPr>
          <w:rFonts w:hint="eastAsia" w:ascii="Times New Roman" w:hAnsi="Times New Roman" w:eastAsia="仿宋" w:cs="Times New Roman"/>
          <w:color w:val="auto"/>
          <w:spacing w:val="20"/>
          <w:sz w:val="32"/>
          <w:szCs w:val="32"/>
          <w:lang w:eastAsia="zh-CN"/>
        </w:rPr>
        <w:t>（</w:t>
      </w:r>
      <w:r>
        <w:rPr>
          <w:rFonts w:hint="eastAsia" w:ascii="Times New Roman" w:hAnsi="Times New Roman" w:eastAsia="仿宋" w:cs="Times New Roman"/>
          <w:color w:val="auto"/>
          <w:spacing w:val="20"/>
          <w:sz w:val="32"/>
          <w:szCs w:val="32"/>
          <w:lang w:val="en-US" w:eastAsia="zh-CN"/>
        </w:rPr>
        <w:t>人民币</w:t>
      </w:r>
      <w:r>
        <w:rPr>
          <w:rFonts w:hint="eastAsia" w:ascii="Times New Roman" w:hAnsi="Times New Roman" w:eastAsia="仿宋" w:cs="Times New Roman"/>
          <w:color w:val="auto"/>
          <w:spacing w:val="20"/>
          <w:sz w:val="32"/>
          <w:szCs w:val="32"/>
          <w:lang w:eastAsia="zh-CN"/>
        </w:rPr>
        <w:t>）</w:t>
      </w:r>
      <w:r>
        <w:rPr>
          <w:rFonts w:hint="eastAsia" w:ascii="Times New Roman" w:hAnsi="Times New Roman" w:eastAsia="仿宋" w:cs="Times New Roman"/>
          <w:color w:val="auto"/>
          <w:spacing w:val="20"/>
          <w:sz w:val="32"/>
          <w:szCs w:val="32"/>
        </w:rPr>
        <w:t>；形式：银行保函或现金，履约保证金视有无违约情况，在合同履约完成后，30日内一次性无息退还履约保证金。</w:t>
      </w:r>
    </w:p>
    <w:p w14:paraId="72E4E603">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 w:cs="Times New Roman"/>
          <w:color w:val="auto"/>
          <w:spacing w:val="20"/>
          <w:sz w:val="32"/>
          <w:szCs w:val="32"/>
        </w:rPr>
      </w:pPr>
      <w:r>
        <w:rPr>
          <w:rFonts w:hint="eastAsia" w:ascii="Times New Roman" w:hAnsi="Times New Roman" w:eastAsia="仿宋" w:cs="Times New Roman"/>
          <w:color w:val="auto"/>
          <w:spacing w:val="20"/>
          <w:sz w:val="32"/>
          <w:szCs w:val="32"/>
          <w:lang w:val="en-US" w:eastAsia="zh-CN"/>
        </w:rPr>
        <w:t>3、</w:t>
      </w:r>
      <w:r>
        <w:rPr>
          <w:rFonts w:hint="eastAsia" w:ascii="Times New Roman" w:hAnsi="Times New Roman" w:eastAsia="仿宋" w:cs="Times New Roman"/>
          <w:color w:val="auto"/>
          <w:spacing w:val="20"/>
          <w:sz w:val="32"/>
          <w:szCs w:val="32"/>
        </w:rPr>
        <w:t>采用银行保函形式的，如遇</w:t>
      </w:r>
      <w:r>
        <w:rPr>
          <w:rFonts w:hint="eastAsia" w:ascii="Times New Roman" w:hAnsi="Times New Roman" w:eastAsia="仿宋" w:cs="Times New Roman"/>
          <w:color w:val="auto"/>
          <w:spacing w:val="20"/>
          <w:sz w:val="32"/>
          <w:szCs w:val="32"/>
          <w:lang w:val="en-US" w:eastAsia="zh-CN"/>
        </w:rPr>
        <w:t>合同</w:t>
      </w:r>
      <w:r>
        <w:rPr>
          <w:rFonts w:hint="eastAsia" w:ascii="Times New Roman" w:hAnsi="Times New Roman" w:eastAsia="仿宋" w:cs="Times New Roman"/>
          <w:color w:val="auto"/>
          <w:spacing w:val="20"/>
          <w:sz w:val="32"/>
          <w:szCs w:val="32"/>
        </w:rPr>
        <w:t>延期，则乙方须在银行保函到期前一个月及时提供新的银行保函。</w:t>
      </w:r>
    </w:p>
    <w:p w14:paraId="35AD7D4A">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 w:cs="Times New Roman"/>
          <w:b/>
          <w:bCs/>
          <w:color w:val="auto"/>
          <w:kern w:val="0"/>
          <w:sz w:val="32"/>
          <w:szCs w:val="32"/>
          <w:lang w:val="en-US" w:eastAsia="zh-CN" w:bidi="ar-SA"/>
        </w:rPr>
      </w:pPr>
      <w:r>
        <w:rPr>
          <w:rFonts w:hint="eastAsia" w:ascii="Times New Roman" w:hAnsi="Times New Roman" w:eastAsia="仿宋" w:cs="Times New Roman"/>
          <w:b/>
          <w:bCs/>
          <w:color w:val="auto"/>
          <w:kern w:val="0"/>
          <w:sz w:val="32"/>
          <w:szCs w:val="32"/>
          <w:lang w:val="en-US" w:eastAsia="zh-CN" w:bidi="ar-SA"/>
        </w:rPr>
        <w:t>八</w:t>
      </w:r>
      <w:r>
        <w:rPr>
          <w:rFonts w:ascii="Times New Roman" w:hAnsi="Times New Roman" w:eastAsia="仿宋" w:cs="Times New Roman"/>
          <w:b/>
          <w:bCs/>
          <w:color w:val="auto"/>
          <w:kern w:val="0"/>
          <w:sz w:val="32"/>
          <w:szCs w:val="32"/>
          <w:lang w:val="en-US" w:eastAsia="zh-CN" w:bidi="ar-SA"/>
        </w:rPr>
        <w:t>、</w:t>
      </w:r>
      <w:r>
        <w:rPr>
          <w:rFonts w:hint="eastAsia" w:ascii="Times New Roman" w:hAnsi="Times New Roman" w:eastAsia="仿宋" w:cs="Times New Roman"/>
          <w:b/>
          <w:bCs/>
          <w:color w:val="auto"/>
          <w:kern w:val="0"/>
          <w:sz w:val="32"/>
          <w:szCs w:val="32"/>
          <w:lang w:val="en-US" w:eastAsia="zh-CN" w:bidi="ar-SA"/>
        </w:rPr>
        <w:t xml:space="preserve"> 售后服务及质保期</w:t>
      </w:r>
    </w:p>
    <w:p w14:paraId="2048C3A5">
      <w:pPr>
        <w:keepNext w:val="0"/>
        <w:keepLines w:val="0"/>
        <w:pageBreakBefore w:val="0"/>
        <w:widowControl w:val="0"/>
        <w:kinsoku/>
        <w:wordWrap/>
        <w:overflowPunct/>
        <w:topLinePunct w:val="0"/>
        <w:autoSpaceDE/>
        <w:autoSpaceDN/>
        <w:bidi w:val="0"/>
        <w:adjustRightInd/>
        <w:snapToGrid/>
        <w:spacing w:after="0" w:line="560" w:lineRule="exact"/>
        <w:ind w:left="0" w:leftChars="0" w:firstLine="637" w:firstLineChars="177"/>
        <w:jc w:val="both"/>
        <w:textAlignment w:val="auto"/>
        <w:rPr>
          <w:rFonts w:hint="eastAsia" w:ascii="Times New Roman" w:hAnsi="Times New Roman" w:eastAsia="仿宋" w:cs="Times New Roman"/>
          <w:color w:val="auto"/>
          <w:spacing w:val="20"/>
          <w:kern w:val="2"/>
          <w:sz w:val="32"/>
          <w:szCs w:val="32"/>
          <w:lang w:val="en-US" w:eastAsia="zh-CN" w:bidi="ar-SA"/>
        </w:rPr>
      </w:pPr>
      <w:r>
        <w:rPr>
          <w:rFonts w:hint="eastAsia" w:ascii="Times New Roman" w:hAnsi="Times New Roman" w:eastAsia="仿宋" w:cs="Times New Roman"/>
          <w:color w:val="auto"/>
          <w:spacing w:val="20"/>
          <w:kern w:val="2"/>
          <w:sz w:val="32"/>
          <w:szCs w:val="32"/>
          <w:lang w:val="en-US" w:eastAsia="zh-CN" w:bidi="ar-SA"/>
        </w:rPr>
        <w:t>本合同货物的质保期及售后服务期为：自三方验收之日起24个月。在此期间内如因非小业主原因产生的家私质量问题，乙方应提供完善的售后服务，配备技术人员、工具、配件等，更换其他货物（如需）。乙方应当承担售后服务所需全部费用。如乙方未能按时处理的，甲方或小业主有权选择委托第三人进行维修，相应的维修费用由乙方承担。</w:t>
      </w:r>
    </w:p>
    <w:p w14:paraId="0AAE7367">
      <w:pPr>
        <w:spacing w:line="560" w:lineRule="exact"/>
        <w:ind w:firstLine="627" w:firstLineChars="196"/>
        <w:rPr>
          <w:rFonts w:ascii="Times New Roman" w:hAnsi="Times New Roman" w:eastAsia="仿宋" w:cs="Times New Roman"/>
          <w:b/>
          <w:bCs/>
          <w:color w:val="auto"/>
          <w:kern w:val="0"/>
          <w:sz w:val="32"/>
          <w:szCs w:val="32"/>
        </w:rPr>
      </w:pPr>
      <w:r>
        <w:rPr>
          <w:rFonts w:hint="eastAsia" w:ascii="Times New Roman" w:hAnsi="Times New Roman" w:eastAsia="仿宋" w:cs="Times New Roman"/>
          <w:b/>
          <w:bCs/>
          <w:color w:val="auto"/>
          <w:kern w:val="0"/>
          <w:sz w:val="32"/>
          <w:szCs w:val="32"/>
          <w:lang w:val="en-US" w:eastAsia="zh-CN"/>
        </w:rPr>
        <w:t>九</w:t>
      </w:r>
      <w:r>
        <w:rPr>
          <w:rFonts w:ascii="Times New Roman" w:hAnsi="Times New Roman" w:eastAsia="仿宋" w:cs="Times New Roman"/>
          <w:b/>
          <w:bCs/>
          <w:color w:val="auto"/>
          <w:kern w:val="0"/>
          <w:sz w:val="32"/>
          <w:szCs w:val="32"/>
        </w:rPr>
        <w:t>、争议的解决</w:t>
      </w:r>
    </w:p>
    <w:p w14:paraId="542E0E69">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双方若在合同履行中出现争议，应先友好协商解决。协商不成的，可以向甲方所在地人民法院提起诉讼。因一方违约导致另一方为解决纠纷产生的诉讼费、律师费、财产保全费及担保费、鉴定费、公证费、评估费、差旅费等全部由违约方承担。</w:t>
      </w:r>
    </w:p>
    <w:p w14:paraId="0E2A5F77">
      <w:pPr>
        <w:spacing w:line="560" w:lineRule="exact"/>
        <w:ind w:firstLine="627" w:firstLineChars="196"/>
        <w:rPr>
          <w:rFonts w:ascii="Times New Roman" w:hAnsi="Times New Roman" w:eastAsia="仿宋" w:cs="Times New Roman"/>
          <w:b/>
          <w:bCs/>
          <w:color w:val="auto"/>
          <w:kern w:val="0"/>
          <w:sz w:val="32"/>
          <w:szCs w:val="32"/>
        </w:rPr>
      </w:pPr>
      <w:r>
        <w:rPr>
          <w:rFonts w:hint="eastAsia" w:ascii="Times New Roman" w:hAnsi="Times New Roman" w:eastAsia="仿宋" w:cs="Times New Roman"/>
          <w:b/>
          <w:bCs/>
          <w:color w:val="auto"/>
          <w:kern w:val="0"/>
          <w:sz w:val="32"/>
          <w:szCs w:val="32"/>
          <w:lang w:val="en-US" w:eastAsia="zh-CN"/>
        </w:rPr>
        <w:t>十</w:t>
      </w:r>
      <w:r>
        <w:rPr>
          <w:rFonts w:ascii="Times New Roman" w:hAnsi="Times New Roman" w:eastAsia="仿宋" w:cs="Times New Roman"/>
          <w:b/>
          <w:bCs/>
          <w:color w:val="auto"/>
          <w:kern w:val="0"/>
          <w:sz w:val="32"/>
          <w:szCs w:val="32"/>
        </w:rPr>
        <w:t>、</w:t>
      </w:r>
      <w:r>
        <w:rPr>
          <w:rFonts w:hint="eastAsia" w:ascii="Times New Roman" w:hAnsi="Times New Roman" w:eastAsia="仿宋" w:cs="Times New Roman"/>
          <w:b/>
          <w:bCs/>
          <w:color w:val="auto"/>
          <w:kern w:val="0"/>
          <w:sz w:val="32"/>
          <w:szCs w:val="32"/>
        </w:rPr>
        <w:t>保密</w:t>
      </w:r>
    </w:p>
    <w:p w14:paraId="38693E1D">
      <w:pPr>
        <w:spacing w:line="560" w:lineRule="exact"/>
        <w:ind w:firstLine="720" w:firstLineChars="200"/>
        <w:rPr>
          <w:rFonts w:ascii="Times New Roman" w:hAnsi="Times New Roman" w:eastAsia="仿宋" w:cs="Times New Roman"/>
          <w:color w:val="auto"/>
          <w:spacing w:val="20"/>
          <w:sz w:val="32"/>
          <w:szCs w:val="32"/>
        </w:rPr>
      </w:pPr>
      <w:r>
        <w:rPr>
          <w:rFonts w:hint="eastAsia" w:ascii="Times New Roman" w:hAnsi="Times New Roman" w:eastAsia="仿宋" w:cs="Times New Roman"/>
          <w:color w:val="auto"/>
          <w:spacing w:val="20"/>
          <w:sz w:val="32"/>
          <w:szCs w:val="32"/>
        </w:rPr>
        <w:t>1</w:t>
      </w:r>
      <w:r>
        <w:rPr>
          <w:rFonts w:ascii="Times New Roman" w:hAnsi="Times New Roman" w:eastAsia="仿宋" w:cs="Times New Roman"/>
          <w:color w:val="auto"/>
          <w:spacing w:val="20"/>
          <w:sz w:val="32"/>
          <w:szCs w:val="32"/>
        </w:rPr>
        <w:t>、甲乙双方均应当对本合同的内容、因履行本合同或在本合同期间知悉的或收到的对方及其关联企业所有的商务、财务、技术、产品的信息、用户资料或其他标明保密的文件或信息（以下简称保密信息）予以保密，未经保密信息披露方事先书面同意，不得向本合同以外的任何第三方披露。</w:t>
      </w:r>
    </w:p>
    <w:p w14:paraId="0674A70D">
      <w:pPr>
        <w:spacing w:line="560" w:lineRule="exact"/>
        <w:ind w:firstLine="720" w:firstLineChars="200"/>
        <w:rPr>
          <w:rFonts w:ascii="Times New Roman" w:hAnsi="Times New Roman" w:eastAsia="仿宋" w:cs="Times New Roman"/>
          <w:color w:val="auto"/>
          <w:spacing w:val="20"/>
          <w:sz w:val="32"/>
          <w:szCs w:val="32"/>
        </w:rPr>
      </w:pPr>
      <w:r>
        <w:rPr>
          <w:rFonts w:hint="eastAsia" w:ascii="Times New Roman" w:hAnsi="Times New Roman" w:eastAsia="仿宋" w:cs="Times New Roman"/>
          <w:color w:val="auto"/>
          <w:spacing w:val="20"/>
          <w:sz w:val="32"/>
          <w:szCs w:val="32"/>
        </w:rPr>
        <w:t>2、</w:t>
      </w:r>
      <w:r>
        <w:rPr>
          <w:rFonts w:ascii="Times New Roman" w:hAnsi="Times New Roman" w:eastAsia="仿宋" w:cs="Times New Roman"/>
          <w:color w:val="auto"/>
          <w:spacing w:val="20"/>
          <w:sz w:val="32"/>
          <w:szCs w:val="32"/>
        </w:rPr>
        <w:t>一方违反保密义务泄露另一方的保密信息的，造成另一方损失的，依法应当承担赔偿责任。</w:t>
      </w:r>
    </w:p>
    <w:p w14:paraId="3807182F">
      <w:pPr>
        <w:spacing w:line="560" w:lineRule="exact"/>
        <w:ind w:firstLine="720" w:firstLineChars="200"/>
        <w:rPr>
          <w:rFonts w:ascii="Times New Roman" w:hAnsi="Times New Roman" w:eastAsia="仿宋" w:cs="Times New Roman"/>
          <w:color w:val="auto"/>
          <w:spacing w:val="20"/>
          <w:sz w:val="32"/>
          <w:szCs w:val="32"/>
        </w:rPr>
      </w:pPr>
      <w:r>
        <w:rPr>
          <w:rFonts w:hint="eastAsia" w:ascii="Times New Roman" w:hAnsi="Times New Roman" w:eastAsia="仿宋" w:cs="Times New Roman"/>
          <w:color w:val="auto"/>
          <w:spacing w:val="20"/>
          <w:sz w:val="32"/>
          <w:szCs w:val="32"/>
        </w:rPr>
        <w:t>3、</w:t>
      </w:r>
      <w:r>
        <w:rPr>
          <w:rFonts w:ascii="Times New Roman" w:hAnsi="Times New Roman" w:eastAsia="仿宋" w:cs="Times New Roman"/>
          <w:color w:val="auto"/>
          <w:spacing w:val="20"/>
          <w:sz w:val="32"/>
          <w:szCs w:val="32"/>
        </w:rPr>
        <w:t>本保密义务的保密期限为长期。本合同无效、解除或终止，均不影响保密条款的有效性。</w:t>
      </w:r>
    </w:p>
    <w:p w14:paraId="08DA9B7F">
      <w:pPr>
        <w:spacing w:line="560" w:lineRule="exact"/>
        <w:ind w:firstLine="627" w:firstLineChars="196"/>
        <w:rPr>
          <w:rFonts w:ascii="Times New Roman" w:hAnsi="Times New Roman" w:eastAsia="仿宋" w:cs="Times New Roman"/>
          <w:b/>
          <w:bCs/>
          <w:color w:val="auto"/>
          <w:kern w:val="0"/>
          <w:sz w:val="32"/>
          <w:szCs w:val="32"/>
        </w:rPr>
      </w:pPr>
      <w:r>
        <w:rPr>
          <w:rFonts w:hint="eastAsia" w:ascii="Times New Roman" w:hAnsi="Times New Roman" w:eastAsia="仿宋" w:cs="Times New Roman"/>
          <w:b/>
          <w:bCs/>
          <w:color w:val="auto"/>
          <w:kern w:val="0"/>
          <w:sz w:val="32"/>
          <w:szCs w:val="32"/>
          <w:lang w:val="en-US" w:eastAsia="zh-CN"/>
        </w:rPr>
        <w:t>十一</w:t>
      </w:r>
      <w:r>
        <w:rPr>
          <w:rFonts w:ascii="Times New Roman" w:hAnsi="Times New Roman" w:eastAsia="仿宋" w:cs="Times New Roman"/>
          <w:b/>
          <w:bCs/>
          <w:color w:val="auto"/>
          <w:kern w:val="0"/>
          <w:sz w:val="32"/>
          <w:szCs w:val="32"/>
        </w:rPr>
        <w:t>、其他</w:t>
      </w:r>
    </w:p>
    <w:p w14:paraId="5B55B921">
      <w:pPr>
        <w:spacing w:line="560" w:lineRule="exact"/>
        <w:ind w:firstLine="720" w:firstLineChars="200"/>
        <w:rPr>
          <w:rFonts w:ascii="Times New Roman" w:hAnsi="Times New Roman" w:eastAsia="仿宋" w:cs="Times New Roman"/>
          <w:color w:val="auto"/>
          <w:spacing w:val="20"/>
          <w:sz w:val="32"/>
          <w:szCs w:val="32"/>
        </w:rPr>
      </w:pPr>
      <w:r>
        <w:rPr>
          <w:rFonts w:ascii="Times New Roman" w:hAnsi="Times New Roman" w:eastAsia="仿宋" w:cs="Times New Roman"/>
          <w:color w:val="auto"/>
          <w:spacing w:val="20"/>
          <w:sz w:val="32"/>
          <w:szCs w:val="32"/>
        </w:rPr>
        <w:t>1、</w:t>
      </w:r>
      <w:r>
        <w:rPr>
          <w:rFonts w:hint="eastAsia" w:ascii="Times New Roman" w:hAnsi="Times New Roman" w:eastAsia="仿宋" w:cs="Times New Roman"/>
          <w:color w:val="auto"/>
          <w:spacing w:val="20"/>
          <w:sz w:val="32"/>
          <w:szCs w:val="32"/>
        </w:rPr>
        <w:t>本合同交易流程：</w:t>
      </w:r>
      <w:r>
        <w:rPr>
          <w:rFonts w:hint="eastAsia" w:ascii="Times New Roman" w:hAnsi="Times New Roman" w:eastAsia="仿宋" w:cs="Times New Roman"/>
          <w:color w:val="auto"/>
          <w:spacing w:val="20"/>
          <w:sz w:val="32"/>
          <w:szCs w:val="32"/>
          <w:lang w:val="en-US" w:eastAsia="zh-CN"/>
        </w:rPr>
        <w:t>深圳</w:t>
      </w:r>
      <w:r>
        <w:rPr>
          <w:rFonts w:hint="eastAsia" w:ascii="Times New Roman" w:hAnsi="Times New Roman" w:eastAsia="仿宋" w:cs="Times New Roman"/>
          <w:color w:val="auto"/>
          <w:spacing w:val="20"/>
          <w:sz w:val="32"/>
          <w:szCs w:val="32"/>
        </w:rPr>
        <w:t>安联尚璟府项目的</w:t>
      </w:r>
      <w:r>
        <w:rPr>
          <w:rFonts w:hint="eastAsia" w:ascii="Times New Roman" w:hAnsi="Times New Roman" w:eastAsia="仿宋" w:cs="Times New Roman"/>
          <w:color w:val="auto"/>
          <w:spacing w:val="20"/>
          <w:sz w:val="32"/>
          <w:szCs w:val="32"/>
          <w:lang w:val="en-US" w:eastAsia="zh-CN"/>
        </w:rPr>
        <w:t>购房</w:t>
      </w:r>
      <w:r>
        <w:rPr>
          <w:rFonts w:hint="eastAsia" w:ascii="Times New Roman" w:hAnsi="Times New Roman" w:eastAsia="仿宋" w:cs="Times New Roman"/>
          <w:color w:val="auto"/>
          <w:spacing w:val="20"/>
          <w:sz w:val="32"/>
          <w:szCs w:val="32"/>
        </w:rPr>
        <w:t>业主与甲方签订房屋网签合同的同时，甲方发放</w:t>
      </w:r>
      <w:r>
        <w:rPr>
          <w:rFonts w:hint="eastAsia" w:ascii="Times New Roman" w:hAnsi="Times New Roman" w:eastAsia="仿宋" w:cs="Times New Roman"/>
          <w:color w:val="auto"/>
          <w:spacing w:val="20"/>
          <w:sz w:val="32"/>
          <w:szCs w:val="32"/>
          <w:lang w:eastAsia="zh-CN"/>
        </w:rPr>
        <w:t>“</w:t>
      </w:r>
      <w:r>
        <w:rPr>
          <w:rFonts w:hint="eastAsia" w:ascii="Times New Roman" w:hAnsi="Times New Roman" w:eastAsia="仿宋" w:cs="Times New Roman"/>
          <w:color w:val="auto"/>
          <w:spacing w:val="20"/>
          <w:sz w:val="32"/>
          <w:szCs w:val="32"/>
          <w:lang w:val="en-US" w:eastAsia="zh-CN"/>
        </w:rPr>
        <w:t>软装家具套装</w:t>
      </w:r>
      <w:r>
        <w:rPr>
          <w:rFonts w:hint="eastAsia" w:ascii="Times New Roman" w:hAnsi="Times New Roman" w:eastAsia="仿宋" w:cs="Times New Roman"/>
          <w:color w:val="auto"/>
          <w:spacing w:val="20"/>
          <w:sz w:val="32"/>
          <w:szCs w:val="32"/>
        </w:rPr>
        <w:t>抵用券</w:t>
      </w:r>
      <w:r>
        <w:rPr>
          <w:rFonts w:hint="eastAsia" w:ascii="Times New Roman" w:hAnsi="Times New Roman" w:eastAsia="仿宋" w:cs="Times New Roman"/>
          <w:color w:val="auto"/>
          <w:spacing w:val="20"/>
          <w:sz w:val="32"/>
          <w:szCs w:val="32"/>
          <w:lang w:eastAsia="zh-CN"/>
        </w:rPr>
        <w:t>”</w:t>
      </w:r>
      <w:r>
        <w:rPr>
          <w:rFonts w:hint="eastAsia" w:ascii="Times New Roman" w:hAnsi="Times New Roman" w:eastAsia="仿宋" w:cs="Times New Roman"/>
          <w:color w:val="auto"/>
          <w:spacing w:val="20"/>
          <w:sz w:val="32"/>
          <w:szCs w:val="32"/>
        </w:rPr>
        <w:t>给业主，业主持</w:t>
      </w:r>
      <w:r>
        <w:rPr>
          <w:rFonts w:hint="eastAsia" w:ascii="Times New Roman" w:hAnsi="Times New Roman" w:eastAsia="仿宋" w:cs="Times New Roman"/>
          <w:color w:val="auto"/>
          <w:spacing w:val="20"/>
          <w:sz w:val="32"/>
          <w:szCs w:val="32"/>
          <w:lang w:eastAsia="zh-CN"/>
        </w:rPr>
        <w:t>“</w:t>
      </w:r>
      <w:r>
        <w:rPr>
          <w:rFonts w:hint="eastAsia" w:ascii="Times New Roman" w:hAnsi="Times New Roman" w:eastAsia="仿宋" w:cs="Times New Roman"/>
          <w:color w:val="auto"/>
          <w:spacing w:val="20"/>
          <w:sz w:val="32"/>
          <w:szCs w:val="32"/>
          <w:lang w:val="en-US" w:eastAsia="zh-CN"/>
        </w:rPr>
        <w:t>软装家具套装</w:t>
      </w:r>
      <w:r>
        <w:rPr>
          <w:rFonts w:hint="eastAsia" w:ascii="Times New Roman" w:hAnsi="Times New Roman" w:eastAsia="仿宋" w:cs="Times New Roman"/>
          <w:color w:val="auto"/>
          <w:spacing w:val="20"/>
          <w:sz w:val="32"/>
          <w:szCs w:val="32"/>
        </w:rPr>
        <w:t>抵用券</w:t>
      </w:r>
      <w:r>
        <w:rPr>
          <w:rFonts w:hint="eastAsia" w:ascii="Times New Roman" w:hAnsi="Times New Roman" w:eastAsia="仿宋" w:cs="Times New Roman"/>
          <w:color w:val="auto"/>
          <w:spacing w:val="20"/>
          <w:sz w:val="32"/>
          <w:szCs w:val="32"/>
          <w:lang w:eastAsia="zh-CN"/>
        </w:rPr>
        <w:t>”</w:t>
      </w:r>
      <w:r>
        <w:rPr>
          <w:rFonts w:hint="eastAsia" w:ascii="Times New Roman" w:hAnsi="Times New Roman" w:eastAsia="仿宋" w:cs="Times New Roman"/>
          <w:color w:val="auto"/>
          <w:spacing w:val="20"/>
          <w:sz w:val="32"/>
          <w:szCs w:val="32"/>
          <w:lang w:val="en-US" w:eastAsia="zh-CN"/>
        </w:rPr>
        <w:t>联</w:t>
      </w:r>
      <w:r>
        <w:rPr>
          <w:rFonts w:hint="eastAsia" w:ascii="Times New Roman" w:hAnsi="Times New Roman" w:eastAsia="仿宋" w:cs="Times New Roman"/>
          <w:color w:val="auto"/>
          <w:spacing w:val="20"/>
          <w:sz w:val="32"/>
          <w:szCs w:val="32"/>
        </w:rPr>
        <w:t>系乙方制定家具</w:t>
      </w:r>
      <w:r>
        <w:rPr>
          <w:rFonts w:hint="eastAsia" w:ascii="Times New Roman" w:hAnsi="Times New Roman" w:eastAsia="仿宋" w:cs="Times New Roman"/>
          <w:color w:val="auto"/>
          <w:spacing w:val="20"/>
          <w:sz w:val="32"/>
          <w:szCs w:val="32"/>
          <w:lang w:eastAsia="zh-CN"/>
        </w:rPr>
        <w:t>，</w:t>
      </w:r>
      <w:r>
        <w:rPr>
          <w:rFonts w:hint="eastAsia" w:ascii="Times New Roman" w:hAnsi="Times New Roman" w:eastAsia="仿宋" w:cs="Times New Roman"/>
          <w:color w:val="auto"/>
          <w:spacing w:val="20"/>
          <w:sz w:val="32"/>
          <w:szCs w:val="32"/>
          <w:lang w:val="en-US" w:eastAsia="zh-CN"/>
        </w:rPr>
        <w:t>乙方完成</w:t>
      </w:r>
      <w:r>
        <w:rPr>
          <w:rFonts w:hint="eastAsia" w:ascii="Times New Roman" w:hAnsi="Times New Roman" w:eastAsia="仿宋" w:cs="Times New Roman"/>
          <w:color w:val="auto"/>
          <w:spacing w:val="20"/>
          <w:sz w:val="32"/>
          <w:szCs w:val="32"/>
        </w:rPr>
        <w:t>供货</w:t>
      </w:r>
      <w:r>
        <w:rPr>
          <w:rFonts w:hint="eastAsia" w:ascii="Times New Roman" w:hAnsi="Times New Roman" w:eastAsia="仿宋" w:cs="Times New Roman"/>
          <w:color w:val="auto"/>
          <w:spacing w:val="20"/>
          <w:sz w:val="32"/>
          <w:szCs w:val="32"/>
          <w:lang w:val="en-US" w:eastAsia="zh-CN"/>
        </w:rPr>
        <w:t>安装后</w:t>
      </w:r>
      <w:r>
        <w:rPr>
          <w:rFonts w:hint="eastAsia" w:ascii="Times New Roman" w:hAnsi="Times New Roman" w:eastAsia="仿宋" w:cs="Times New Roman"/>
          <w:color w:val="auto"/>
          <w:spacing w:val="20"/>
          <w:sz w:val="32"/>
          <w:szCs w:val="32"/>
        </w:rPr>
        <w:t>，按本合同约定持</w:t>
      </w:r>
      <w:r>
        <w:rPr>
          <w:rFonts w:hint="eastAsia" w:ascii="Times New Roman" w:hAnsi="Times New Roman" w:eastAsia="仿宋" w:cs="Times New Roman"/>
          <w:color w:val="auto"/>
          <w:spacing w:val="20"/>
          <w:sz w:val="32"/>
          <w:szCs w:val="32"/>
          <w:lang w:eastAsia="zh-CN"/>
        </w:rPr>
        <w:t>“</w:t>
      </w:r>
      <w:r>
        <w:rPr>
          <w:rFonts w:hint="eastAsia" w:ascii="Times New Roman" w:hAnsi="Times New Roman" w:eastAsia="仿宋" w:cs="Times New Roman"/>
          <w:color w:val="auto"/>
          <w:spacing w:val="20"/>
          <w:sz w:val="32"/>
          <w:szCs w:val="32"/>
          <w:lang w:val="en-US" w:eastAsia="zh-CN"/>
        </w:rPr>
        <w:t>软装家具套装</w:t>
      </w:r>
      <w:r>
        <w:rPr>
          <w:rFonts w:hint="eastAsia" w:ascii="Times New Roman" w:hAnsi="Times New Roman" w:eastAsia="仿宋" w:cs="Times New Roman"/>
          <w:color w:val="auto"/>
          <w:spacing w:val="20"/>
          <w:sz w:val="32"/>
          <w:szCs w:val="32"/>
        </w:rPr>
        <w:t>抵用券</w:t>
      </w:r>
      <w:r>
        <w:rPr>
          <w:rFonts w:hint="eastAsia" w:ascii="Times New Roman" w:hAnsi="Times New Roman" w:eastAsia="仿宋" w:cs="Times New Roman"/>
          <w:color w:val="auto"/>
          <w:spacing w:val="20"/>
          <w:sz w:val="32"/>
          <w:szCs w:val="32"/>
          <w:lang w:eastAsia="zh-CN"/>
        </w:rPr>
        <w:t>”</w:t>
      </w:r>
      <w:r>
        <w:rPr>
          <w:rFonts w:hint="eastAsia" w:ascii="Times New Roman" w:hAnsi="Times New Roman" w:eastAsia="仿宋" w:cs="Times New Roman"/>
          <w:color w:val="auto"/>
          <w:spacing w:val="20"/>
          <w:sz w:val="32"/>
          <w:szCs w:val="32"/>
        </w:rPr>
        <w:t>、</w:t>
      </w:r>
      <w:r>
        <w:rPr>
          <w:rFonts w:ascii="Times New Roman" w:hAnsi="Times New Roman" w:eastAsia="仿宋" w:cs="Times New Roman"/>
          <w:color w:val="auto"/>
          <w:sz w:val="32"/>
          <w:szCs w:val="32"/>
        </w:rPr>
        <w:t>三方验收单</w:t>
      </w:r>
      <w:r>
        <w:rPr>
          <w:rFonts w:hint="eastAsia" w:ascii="Times New Roman" w:hAnsi="Times New Roman" w:eastAsia="仿宋" w:cs="Times New Roman"/>
          <w:color w:val="auto"/>
          <w:spacing w:val="20"/>
          <w:sz w:val="32"/>
          <w:szCs w:val="32"/>
        </w:rPr>
        <w:t>等材料，向甲方申请结算家具款。结算时甲方将复核乙方提供的</w:t>
      </w:r>
      <w:r>
        <w:rPr>
          <w:rFonts w:ascii="Times New Roman" w:hAnsi="Times New Roman" w:eastAsia="仿宋" w:cs="Times New Roman"/>
          <w:color w:val="auto"/>
          <w:sz w:val="32"/>
          <w:szCs w:val="32"/>
        </w:rPr>
        <w:t>三方验收单</w:t>
      </w:r>
      <w:r>
        <w:rPr>
          <w:rFonts w:hint="eastAsia" w:ascii="Times New Roman" w:hAnsi="Times New Roman" w:eastAsia="仿宋" w:cs="Times New Roman"/>
          <w:color w:val="auto"/>
          <w:spacing w:val="20"/>
          <w:sz w:val="32"/>
          <w:szCs w:val="32"/>
        </w:rPr>
        <w:t>和抵用券，与签订的房屋网签合同是否为同一户，业主姓名及签名是否一致等，在收到乙方提交的结算申请单后【30】天内完成审核，审核无误后按合同约定时间支付款项。乙方按本合同第六条</w:t>
      </w:r>
      <w:r>
        <w:rPr>
          <w:rFonts w:hint="eastAsia" w:ascii="Times New Roman" w:hAnsi="Times New Roman" w:eastAsia="仿宋" w:cs="Times New Roman"/>
          <w:color w:val="auto"/>
          <w:spacing w:val="20"/>
          <w:sz w:val="32"/>
          <w:szCs w:val="32"/>
          <w:lang w:val="en-US" w:eastAsia="zh-CN"/>
        </w:rPr>
        <w:t>和第八条应</w:t>
      </w:r>
      <w:r>
        <w:rPr>
          <w:rFonts w:hint="eastAsia" w:ascii="Times New Roman" w:hAnsi="Times New Roman" w:eastAsia="仿宋" w:cs="Times New Roman"/>
          <w:color w:val="auto"/>
          <w:spacing w:val="20"/>
          <w:sz w:val="32"/>
          <w:szCs w:val="32"/>
        </w:rPr>
        <w:t>承担的售后、质保义务，直接向业主履行。</w:t>
      </w:r>
    </w:p>
    <w:p w14:paraId="76D32B0D">
      <w:pPr>
        <w:spacing w:line="560" w:lineRule="exact"/>
        <w:ind w:firstLine="720" w:firstLineChars="200"/>
        <w:rPr>
          <w:rFonts w:ascii="Times New Roman" w:hAnsi="Times New Roman" w:eastAsia="仿宋" w:cs="Times New Roman"/>
          <w:color w:val="auto"/>
          <w:spacing w:val="20"/>
          <w:sz w:val="32"/>
          <w:szCs w:val="32"/>
        </w:rPr>
      </w:pPr>
      <w:r>
        <w:rPr>
          <w:rFonts w:hint="eastAsia" w:ascii="Times New Roman" w:hAnsi="Times New Roman" w:eastAsia="仿宋" w:cs="Times New Roman"/>
          <w:color w:val="auto"/>
          <w:spacing w:val="20"/>
          <w:sz w:val="32"/>
          <w:szCs w:val="32"/>
        </w:rPr>
        <w:t>2、本合同所称的业主，是指与甲方签订房屋买卖合同，购买甲方深圳安联尚璟府项目房产，且持有甲方抵用券的客户。</w:t>
      </w:r>
    </w:p>
    <w:p w14:paraId="1195B94D">
      <w:pPr>
        <w:spacing w:line="560" w:lineRule="exact"/>
        <w:ind w:firstLine="720" w:firstLineChars="200"/>
        <w:rPr>
          <w:rFonts w:ascii="Times New Roman" w:hAnsi="Times New Roman" w:eastAsia="仿宋" w:cs="Times New Roman"/>
          <w:color w:val="auto"/>
          <w:spacing w:val="20"/>
          <w:sz w:val="32"/>
          <w:szCs w:val="32"/>
        </w:rPr>
      </w:pPr>
      <w:r>
        <w:rPr>
          <w:rFonts w:hint="eastAsia" w:ascii="Times New Roman" w:hAnsi="Times New Roman" w:eastAsia="仿宋" w:cs="Times New Roman"/>
          <w:color w:val="auto"/>
          <w:spacing w:val="20"/>
          <w:sz w:val="32"/>
          <w:szCs w:val="32"/>
          <w:lang w:val="en-US" w:eastAsia="zh-CN"/>
        </w:rPr>
        <w:t>3、</w:t>
      </w:r>
      <w:r>
        <w:rPr>
          <w:rFonts w:ascii="Times New Roman" w:hAnsi="Times New Roman" w:eastAsia="仿宋" w:cs="Times New Roman"/>
          <w:color w:val="auto"/>
          <w:spacing w:val="20"/>
          <w:sz w:val="32"/>
          <w:szCs w:val="32"/>
        </w:rPr>
        <w:t>本合同的未尽事宜及本合同在履行过程中需变更的事宜，双方应通过订立补充条款或补充协议进行约定。本合同的补充条款、补充协议及附件均为本合同不可分割的部分。</w:t>
      </w:r>
    </w:p>
    <w:p w14:paraId="4D872075">
      <w:pPr>
        <w:spacing w:line="560" w:lineRule="exact"/>
        <w:ind w:firstLine="720" w:firstLineChars="200"/>
        <w:rPr>
          <w:rFonts w:ascii="Times New Roman" w:hAnsi="Times New Roman" w:eastAsia="仿宋" w:cs="Times New Roman"/>
          <w:color w:val="auto"/>
          <w:spacing w:val="20"/>
          <w:sz w:val="32"/>
          <w:szCs w:val="32"/>
        </w:rPr>
      </w:pPr>
      <w:r>
        <w:rPr>
          <w:rFonts w:hint="eastAsia" w:ascii="Times New Roman" w:hAnsi="Times New Roman" w:eastAsia="仿宋" w:cs="Times New Roman"/>
          <w:color w:val="auto"/>
          <w:spacing w:val="20"/>
          <w:sz w:val="32"/>
          <w:szCs w:val="32"/>
          <w:lang w:val="en-US" w:eastAsia="zh-CN"/>
        </w:rPr>
        <w:t>4</w:t>
      </w:r>
      <w:r>
        <w:rPr>
          <w:rFonts w:ascii="Times New Roman" w:hAnsi="Times New Roman" w:eastAsia="仿宋" w:cs="Times New Roman"/>
          <w:color w:val="auto"/>
          <w:spacing w:val="20"/>
          <w:sz w:val="32"/>
          <w:szCs w:val="32"/>
        </w:rPr>
        <w:t>、本合同中签约双方提供的联系方式在合同期内均真实有效，如发生变更，变更一方应提前以书面形式告知对方，因联系方式不真实、变更未告知或一方拒收等原因导致对方通知无法送达的，视为已经送达，由接收方承担所有不利后果。双方同意，本条约定的联系方式适用于后续诉讼。</w:t>
      </w:r>
    </w:p>
    <w:p w14:paraId="58D77B29">
      <w:pPr>
        <w:spacing w:line="560" w:lineRule="exact"/>
        <w:ind w:firstLine="720" w:firstLineChars="200"/>
        <w:rPr>
          <w:rFonts w:ascii="Times New Roman" w:hAnsi="Times New Roman" w:eastAsia="仿宋" w:cs="Times New Roman"/>
          <w:color w:val="auto"/>
          <w:spacing w:val="20"/>
          <w:sz w:val="32"/>
          <w:szCs w:val="32"/>
        </w:rPr>
      </w:pPr>
      <w:r>
        <w:rPr>
          <w:rFonts w:hint="eastAsia" w:ascii="Times New Roman" w:hAnsi="Times New Roman" w:eastAsia="仿宋" w:cs="Times New Roman"/>
          <w:color w:val="auto"/>
          <w:spacing w:val="20"/>
          <w:sz w:val="32"/>
          <w:szCs w:val="32"/>
          <w:lang w:val="en-US" w:eastAsia="zh-CN"/>
        </w:rPr>
        <w:t>5</w:t>
      </w:r>
      <w:r>
        <w:rPr>
          <w:rFonts w:ascii="Times New Roman" w:hAnsi="Times New Roman" w:eastAsia="仿宋" w:cs="Times New Roman"/>
          <w:color w:val="auto"/>
          <w:spacing w:val="20"/>
          <w:sz w:val="32"/>
          <w:szCs w:val="32"/>
        </w:rPr>
        <w:t>、本</w:t>
      </w:r>
      <w:r>
        <w:rPr>
          <w:rFonts w:hint="eastAsia" w:ascii="Times New Roman" w:hAnsi="Times New Roman" w:eastAsia="仿宋" w:cs="Times New Roman"/>
          <w:color w:val="auto"/>
          <w:spacing w:val="20"/>
          <w:sz w:val="32"/>
          <w:szCs w:val="32"/>
          <w:lang w:val="en-US" w:eastAsia="zh-CN"/>
        </w:rPr>
        <w:t>合同</w:t>
      </w:r>
      <w:r>
        <w:rPr>
          <w:rFonts w:ascii="Times New Roman" w:hAnsi="Times New Roman" w:eastAsia="仿宋" w:cs="Times New Roman"/>
          <w:color w:val="auto"/>
          <w:spacing w:val="20"/>
          <w:sz w:val="32"/>
          <w:szCs w:val="32"/>
        </w:rPr>
        <w:t>一式陆份，经甲乙双方签字并盖章后生效，甲方执肆份，乙方执贰份，具同等法律效力。</w:t>
      </w:r>
    </w:p>
    <w:p w14:paraId="5BADCF50">
      <w:pPr>
        <w:spacing w:line="560" w:lineRule="exact"/>
        <w:rPr>
          <w:rFonts w:ascii="Times New Roman" w:hAnsi="Times New Roman" w:eastAsia="仿宋" w:cs="Times New Roman"/>
          <w:color w:val="auto"/>
          <w:spacing w:val="20"/>
          <w:sz w:val="28"/>
          <w:szCs w:val="28"/>
        </w:rPr>
      </w:pPr>
      <w:r>
        <w:rPr>
          <w:rFonts w:ascii="Times New Roman" w:hAnsi="Times New Roman" w:eastAsia="仿宋" w:cs="Times New Roman"/>
          <w:color w:val="auto"/>
          <w:spacing w:val="20"/>
          <w:sz w:val="28"/>
          <w:szCs w:val="28"/>
        </w:rPr>
        <w:t>（以下无正文）</w:t>
      </w:r>
    </w:p>
    <w:p w14:paraId="1CFD62D4">
      <w:pPr>
        <w:spacing w:line="560" w:lineRule="exact"/>
        <w:rPr>
          <w:rFonts w:ascii="Times New Roman" w:hAnsi="Times New Roman" w:eastAsia="仿宋" w:cs="Times New Roman"/>
          <w:color w:val="auto"/>
          <w:spacing w:val="20"/>
          <w:sz w:val="28"/>
          <w:szCs w:val="28"/>
        </w:rPr>
      </w:pPr>
    </w:p>
    <w:tbl>
      <w:tblPr>
        <w:tblStyle w:val="21"/>
        <w:tblW w:w="53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6"/>
        <w:gridCol w:w="4624"/>
      </w:tblGrid>
      <w:tr w14:paraId="7435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498" w:type="pct"/>
            <w:tcBorders>
              <w:top w:val="nil"/>
              <w:left w:val="nil"/>
              <w:bottom w:val="nil"/>
              <w:right w:val="nil"/>
            </w:tcBorders>
          </w:tcPr>
          <w:p w14:paraId="742A58AB">
            <w:pPr>
              <w:widowControl/>
              <w:spacing w:line="480" w:lineRule="exact"/>
              <w:ind w:firstLine="480"/>
              <w:rPr>
                <w:rFonts w:ascii="Times New Roman" w:hAnsi="Times New Roman" w:eastAsia="宋体" w:cs="Times New Roman"/>
                <w:color w:val="auto"/>
                <w:sz w:val="24"/>
              </w:rPr>
            </w:pPr>
            <w:r>
              <w:rPr>
                <w:rFonts w:ascii="Times New Roman" w:hAnsi="Times New Roman" w:eastAsia="宋体" w:cs="Times New Roman"/>
                <w:color w:val="auto"/>
                <w:sz w:val="24"/>
              </w:rPr>
              <w:t>甲方：（盖章）</w:t>
            </w:r>
          </w:p>
        </w:tc>
        <w:tc>
          <w:tcPr>
            <w:tcW w:w="2501" w:type="pct"/>
            <w:tcBorders>
              <w:top w:val="nil"/>
              <w:left w:val="nil"/>
              <w:bottom w:val="nil"/>
              <w:right w:val="nil"/>
            </w:tcBorders>
          </w:tcPr>
          <w:p w14:paraId="06029F87">
            <w:pPr>
              <w:spacing w:line="480" w:lineRule="exact"/>
              <w:ind w:firstLine="480"/>
              <w:rPr>
                <w:rFonts w:ascii="Times New Roman" w:hAnsi="Times New Roman" w:eastAsia="宋体" w:cs="Times New Roman"/>
                <w:color w:val="auto"/>
                <w:sz w:val="24"/>
                <w:lang w:bidi="ar"/>
              </w:rPr>
            </w:pPr>
            <w:r>
              <w:rPr>
                <w:rFonts w:ascii="Times New Roman" w:hAnsi="Times New Roman" w:eastAsia="宋体" w:cs="Times New Roman"/>
                <w:color w:val="auto"/>
                <w:sz w:val="24"/>
                <w:lang w:bidi="ar"/>
              </w:rPr>
              <w:t>乙方：（盖章）</w:t>
            </w:r>
          </w:p>
        </w:tc>
      </w:tr>
      <w:tr w14:paraId="7E9F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2498" w:type="pct"/>
            <w:tcBorders>
              <w:top w:val="nil"/>
              <w:left w:val="nil"/>
              <w:bottom w:val="nil"/>
              <w:right w:val="nil"/>
            </w:tcBorders>
          </w:tcPr>
          <w:p w14:paraId="360FE323">
            <w:pPr>
              <w:widowControl/>
              <w:spacing w:line="480" w:lineRule="exact"/>
              <w:ind w:firstLine="480"/>
              <w:rPr>
                <w:rFonts w:ascii="Times New Roman" w:hAnsi="Times New Roman" w:eastAsia="宋体" w:cs="Times New Roman"/>
                <w:color w:val="auto"/>
                <w:sz w:val="24"/>
              </w:rPr>
            </w:pPr>
            <w:r>
              <w:rPr>
                <w:rFonts w:ascii="Times New Roman" w:hAnsi="Times New Roman" w:eastAsia="宋体" w:cs="Times New Roman"/>
                <w:color w:val="auto"/>
                <w:sz w:val="24"/>
              </w:rPr>
              <w:t>法定代表人或</w:t>
            </w:r>
            <w:r>
              <w:rPr>
                <w:rFonts w:ascii="Times New Roman" w:hAnsi="Times New Roman" w:eastAsia="宋体" w:cs="Times New Roman"/>
                <w:color w:val="auto"/>
                <w:sz w:val="24"/>
              </w:rPr>
              <w:br w:type="textWrapping"/>
            </w:r>
            <w:r>
              <w:rPr>
                <w:rFonts w:ascii="Times New Roman" w:hAnsi="Times New Roman" w:eastAsia="宋体" w:cs="Times New Roman"/>
                <w:color w:val="auto"/>
                <w:sz w:val="24"/>
              </w:rPr>
              <w:t>委托代理人：</w:t>
            </w:r>
          </w:p>
          <w:p w14:paraId="6666FF8D">
            <w:pPr>
              <w:widowControl/>
              <w:spacing w:line="480" w:lineRule="exact"/>
              <w:ind w:firstLine="480"/>
              <w:rPr>
                <w:rFonts w:ascii="Times New Roman" w:hAnsi="Times New Roman" w:eastAsia="宋体" w:cs="Times New Roman"/>
                <w:color w:val="auto"/>
                <w:sz w:val="24"/>
              </w:rPr>
            </w:pPr>
            <w:r>
              <w:rPr>
                <w:rFonts w:ascii="Times New Roman" w:hAnsi="Times New Roman" w:eastAsia="宋体" w:cs="Times New Roman"/>
                <w:color w:val="auto"/>
                <w:sz w:val="24"/>
              </w:rPr>
              <w:t>（签字）</w:t>
            </w:r>
          </w:p>
        </w:tc>
        <w:tc>
          <w:tcPr>
            <w:tcW w:w="2501" w:type="pct"/>
            <w:tcBorders>
              <w:top w:val="nil"/>
              <w:left w:val="nil"/>
              <w:bottom w:val="nil"/>
              <w:right w:val="nil"/>
            </w:tcBorders>
          </w:tcPr>
          <w:p w14:paraId="6F5FB9C2">
            <w:pPr>
              <w:spacing w:line="480" w:lineRule="exact"/>
              <w:ind w:firstLine="480"/>
              <w:rPr>
                <w:rFonts w:ascii="Times New Roman" w:hAnsi="Times New Roman" w:eastAsia="宋体" w:cs="Times New Roman"/>
                <w:color w:val="auto"/>
                <w:sz w:val="24"/>
                <w:lang w:bidi="ar"/>
              </w:rPr>
            </w:pPr>
            <w:r>
              <w:rPr>
                <w:rFonts w:ascii="Times New Roman" w:hAnsi="Times New Roman" w:eastAsia="宋体" w:cs="Times New Roman"/>
                <w:color w:val="auto"/>
                <w:sz w:val="24"/>
                <w:lang w:bidi="ar"/>
              </w:rPr>
              <w:t>法定代表人或</w:t>
            </w:r>
            <w:r>
              <w:rPr>
                <w:rFonts w:ascii="Times New Roman" w:hAnsi="Times New Roman" w:eastAsia="宋体" w:cs="Times New Roman"/>
                <w:color w:val="auto"/>
                <w:sz w:val="24"/>
                <w:lang w:bidi="ar"/>
              </w:rPr>
              <w:br w:type="textWrapping"/>
            </w:r>
            <w:r>
              <w:rPr>
                <w:rFonts w:ascii="Times New Roman" w:hAnsi="Times New Roman" w:eastAsia="宋体" w:cs="Times New Roman"/>
                <w:color w:val="auto"/>
                <w:sz w:val="24"/>
                <w:lang w:bidi="ar"/>
              </w:rPr>
              <w:t>委托代理人：</w:t>
            </w:r>
          </w:p>
          <w:p w14:paraId="6FFA36AB">
            <w:pPr>
              <w:spacing w:line="480" w:lineRule="exact"/>
              <w:ind w:firstLine="480"/>
              <w:rPr>
                <w:rFonts w:ascii="Times New Roman" w:hAnsi="Times New Roman" w:eastAsia="宋体" w:cs="Times New Roman"/>
                <w:color w:val="auto"/>
                <w:sz w:val="24"/>
                <w:lang w:bidi="ar"/>
              </w:rPr>
            </w:pPr>
            <w:r>
              <w:rPr>
                <w:rFonts w:ascii="Times New Roman" w:hAnsi="Times New Roman" w:eastAsia="宋体" w:cs="Times New Roman"/>
                <w:color w:val="auto"/>
                <w:sz w:val="24"/>
                <w:lang w:bidi="ar"/>
              </w:rPr>
              <w:t>（签字）</w:t>
            </w:r>
          </w:p>
        </w:tc>
      </w:tr>
      <w:tr w14:paraId="5424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498" w:type="pct"/>
            <w:tcBorders>
              <w:top w:val="nil"/>
              <w:left w:val="nil"/>
              <w:bottom w:val="nil"/>
              <w:right w:val="nil"/>
            </w:tcBorders>
          </w:tcPr>
          <w:p w14:paraId="2F28E762">
            <w:pPr>
              <w:widowControl/>
              <w:spacing w:line="480" w:lineRule="exact"/>
              <w:ind w:firstLine="480"/>
              <w:rPr>
                <w:rFonts w:ascii="Times New Roman" w:hAnsi="Times New Roman" w:eastAsia="宋体" w:cs="Times New Roman"/>
                <w:color w:val="auto"/>
                <w:kern w:val="0"/>
                <w:sz w:val="24"/>
                <w:lang w:bidi="ar"/>
              </w:rPr>
            </w:pPr>
            <w:r>
              <w:rPr>
                <w:rFonts w:ascii="Times New Roman" w:hAnsi="Times New Roman" w:eastAsia="宋体" w:cs="Times New Roman"/>
                <w:color w:val="auto"/>
                <w:kern w:val="0"/>
                <w:sz w:val="24"/>
                <w:lang w:bidi="ar"/>
              </w:rPr>
              <w:t>单位地址：</w:t>
            </w:r>
          </w:p>
        </w:tc>
        <w:tc>
          <w:tcPr>
            <w:tcW w:w="2501" w:type="pct"/>
            <w:tcBorders>
              <w:top w:val="nil"/>
              <w:left w:val="nil"/>
              <w:bottom w:val="nil"/>
              <w:right w:val="nil"/>
            </w:tcBorders>
          </w:tcPr>
          <w:p w14:paraId="15E0DE7F">
            <w:pPr>
              <w:spacing w:line="480" w:lineRule="exact"/>
              <w:ind w:firstLine="480"/>
              <w:rPr>
                <w:rFonts w:ascii="Times New Roman" w:hAnsi="Times New Roman" w:eastAsia="宋体" w:cs="Times New Roman"/>
                <w:color w:val="auto"/>
                <w:kern w:val="0"/>
                <w:sz w:val="24"/>
                <w:lang w:bidi="ar"/>
              </w:rPr>
            </w:pPr>
            <w:r>
              <w:rPr>
                <w:rFonts w:ascii="Times New Roman" w:hAnsi="Times New Roman" w:eastAsia="宋体" w:cs="Times New Roman"/>
                <w:color w:val="auto"/>
                <w:sz w:val="24"/>
                <w:lang w:bidi="ar"/>
              </w:rPr>
              <w:t>单位地址：</w:t>
            </w:r>
          </w:p>
        </w:tc>
      </w:tr>
      <w:tr w14:paraId="5AB3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8" w:type="pct"/>
            <w:tcBorders>
              <w:top w:val="nil"/>
              <w:left w:val="nil"/>
              <w:bottom w:val="nil"/>
              <w:right w:val="nil"/>
            </w:tcBorders>
          </w:tcPr>
          <w:p w14:paraId="4E93D6B0">
            <w:pPr>
              <w:widowControl/>
              <w:spacing w:line="480" w:lineRule="exact"/>
              <w:ind w:firstLine="480"/>
              <w:rPr>
                <w:rFonts w:ascii="Times New Roman" w:hAnsi="Times New Roman" w:eastAsia="宋体" w:cs="Times New Roman"/>
                <w:color w:val="auto"/>
                <w:sz w:val="24"/>
                <w:lang w:bidi="ar"/>
              </w:rPr>
            </w:pPr>
            <w:r>
              <w:rPr>
                <w:rFonts w:ascii="Times New Roman" w:hAnsi="Times New Roman" w:eastAsia="宋体" w:cs="Times New Roman"/>
                <w:color w:val="auto"/>
                <w:kern w:val="0"/>
                <w:sz w:val="24"/>
                <w:lang w:bidi="ar"/>
              </w:rPr>
              <w:t>开户名：</w:t>
            </w:r>
          </w:p>
        </w:tc>
        <w:tc>
          <w:tcPr>
            <w:tcW w:w="2501" w:type="pct"/>
            <w:tcBorders>
              <w:top w:val="nil"/>
              <w:left w:val="nil"/>
              <w:bottom w:val="nil"/>
              <w:right w:val="nil"/>
            </w:tcBorders>
          </w:tcPr>
          <w:p w14:paraId="0516AB2F">
            <w:pPr>
              <w:spacing w:line="480" w:lineRule="exact"/>
              <w:ind w:firstLine="480"/>
              <w:rPr>
                <w:rFonts w:ascii="Times New Roman" w:hAnsi="Times New Roman" w:eastAsia="宋体" w:cs="Times New Roman"/>
                <w:color w:val="auto"/>
                <w:sz w:val="24"/>
                <w:lang w:bidi="ar"/>
              </w:rPr>
            </w:pPr>
            <w:r>
              <w:rPr>
                <w:rFonts w:ascii="Times New Roman" w:hAnsi="Times New Roman" w:eastAsia="宋体" w:cs="Times New Roman"/>
                <w:color w:val="auto"/>
                <w:sz w:val="24"/>
                <w:lang w:bidi="ar"/>
              </w:rPr>
              <w:t>开户名：</w:t>
            </w:r>
          </w:p>
        </w:tc>
      </w:tr>
      <w:tr w14:paraId="469F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498" w:type="pct"/>
            <w:tcBorders>
              <w:top w:val="nil"/>
              <w:left w:val="nil"/>
              <w:bottom w:val="nil"/>
              <w:right w:val="nil"/>
            </w:tcBorders>
          </w:tcPr>
          <w:p w14:paraId="2C27F0C6">
            <w:pPr>
              <w:widowControl/>
              <w:spacing w:line="480" w:lineRule="exact"/>
              <w:ind w:firstLine="480"/>
              <w:rPr>
                <w:rFonts w:ascii="Times New Roman" w:hAnsi="Times New Roman" w:eastAsia="宋体" w:cs="Times New Roman"/>
                <w:color w:val="auto"/>
                <w:sz w:val="24"/>
                <w:lang w:bidi="ar"/>
              </w:rPr>
            </w:pPr>
            <w:r>
              <w:rPr>
                <w:rFonts w:ascii="Times New Roman" w:hAnsi="Times New Roman" w:eastAsia="宋体" w:cs="Times New Roman"/>
                <w:color w:val="auto"/>
                <w:kern w:val="0"/>
                <w:sz w:val="24"/>
                <w:lang w:bidi="ar"/>
              </w:rPr>
              <w:t>开户银行：</w:t>
            </w:r>
          </w:p>
        </w:tc>
        <w:tc>
          <w:tcPr>
            <w:tcW w:w="2501" w:type="pct"/>
            <w:tcBorders>
              <w:top w:val="nil"/>
              <w:left w:val="nil"/>
              <w:bottom w:val="nil"/>
              <w:right w:val="nil"/>
            </w:tcBorders>
          </w:tcPr>
          <w:p w14:paraId="05456F00">
            <w:pPr>
              <w:spacing w:line="480" w:lineRule="exact"/>
              <w:ind w:firstLine="480"/>
              <w:rPr>
                <w:rFonts w:ascii="Times New Roman" w:hAnsi="Times New Roman" w:eastAsia="宋体" w:cs="Times New Roman"/>
                <w:color w:val="auto"/>
                <w:sz w:val="24"/>
                <w:lang w:bidi="ar"/>
              </w:rPr>
            </w:pPr>
            <w:r>
              <w:rPr>
                <w:rFonts w:ascii="Times New Roman" w:hAnsi="Times New Roman" w:eastAsia="宋体" w:cs="Times New Roman"/>
                <w:color w:val="auto"/>
                <w:sz w:val="24"/>
                <w:lang w:bidi="ar"/>
              </w:rPr>
              <w:t>开户银行：</w:t>
            </w:r>
          </w:p>
        </w:tc>
      </w:tr>
      <w:tr w14:paraId="0F6C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498" w:type="pct"/>
            <w:tcBorders>
              <w:top w:val="nil"/>
              <w:left w:val="nil"/>
              <w:bottom w:val="nil"/>
              <w:right w:val="nil"/>
            </w:tcBorders>
          </w:tcPr>
          <w:p w14:paraId="3B5ABCA3">
            <w:pPr>
              <w:widowControl/>
              <w:spacing w:line="480" w:lineRule="exact"/>
              <w:ind w:firstLine="480"/>
              <w:rPr>
                <w:rFonts w:ascii="Times New Roman" w:hAnsi="Times New Roman" w:eastAsia="宋体" w:cs="Times New Roman"/>
                <w:color w:val="auto"/>
                <w:sz w:val="24"/>
                <w:lang w:bidi="ar"/>
              </w:rPr>
            </w:pPr>
            <w:r>
              <w:rPr>
                <w:rFonts w:ascii="Times New Roman" w:hAnsi="Times New Roman" w:eastAsia="宋体" w:cs="Times New Roman"/>
                <w:color w:val="auto"/>
                <w:kern w:val="0"/>
                <w:sz w:val="24"/>
                <w:lang w:bidi="ar"/>
              </w:rPr>
              <w:t>银行帐号：</w:t>
            </w:r>
          </w:p>
        </w:tc>
        <w:tc>
          <w:tcPr>
            <w:tcW w:w="2501" w:type="pct"/>
            <w:tcBorders>
              <w:top w:val="nil"/>
              <w:left w:val="nil"/>
              <w:bottom w:val="nil"/>
              <w:right w:val="nil"/>
            </w:tcBorders>
          </w:tcPr>
          <w:p w14:paraId="79E3B697">
            <w:pPr>
              <w:spacing w:line="480" w:lineRule="exact"/>
              <w:ind w:firstLine="480"/>
              <w:rPr>
                <w:rFonts w:ascii="Times New Roman" w:hAnsi="Times New Roman" w:eastAsia="宋体" w:cs="Times New Roman"/>
                <w:color w:val="auto"/>
                <w:sz w:val="24"/>
                <w:lang w:bidi="ar"/>
              </w:rPr>
            </w:pPr>
            <w:r>
              <w:rPr>
                <w:rFonts w:ascii="Times New Roman" w:hAnsi="Times New Roman" w:eastAsia="宋体" w:cs="Times New Roman"/>
                <w:color w:val="auto"/>
                <w:sz w:val="24"/>
                <w:lang w:bidi="ar"/>
              </w:rPr>
              <w:t>银行帐号：</w:t>
            </w:r>
          </w:p>
        </w:tc>
      </w:tr>
      <w:tr w14:paraId="01CE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00" w:type="pct"/>
            <w:gridSpan w:val="2"/>
            <w:tcBorders>
              <w:top w:val="nil"/>
              <w:left w:val="nil"/>
              <w:bottom w:val="nil"/>
              <w:right w:val="nil"/>
            </w:tcBorders>
          </w:tcPr>
          <w:p w14:paraId="235309A5">
            <w:pPr>
              <w:widowControl/>
              <w:spacing w:line="480" w:lineRule="exact"/>
              <w:ind w:firstLine="480" w:firstLineChars="200"/>
              <w:jc w:val="center"/>
              <w:rPr>
                <w:rFonts w:ascii="Times New Roman" w:hAnsi="Times New Roman" w:eastAsia="宋体" w:cs="Times New Roman"/>
                <w:color w:val="auto"/>
                <w:kern w:val="0"/>
                <w:sz w:val="24"/>
                <w:lang w:bidi="ar"/>
              </w:rPr>
            </w:pPr>
            <w:r>
              <w:rPr>
                <w:rFonts w:ascii="Times New Roman" w:hAnsi="Times New Roman" w:eastAsia="宋体" w:cs="Times New Roman"/>
                <w:color w:val="auto"/>
                <w:kern w:val="0"/>
                <w:sz w:val="24"/>
                <w:lang w:bidi="ar"/>
              </w:rPr>
              <w:t>签订日期：  年  月   日</w:t>
            </w:r>
          </w:p>
        </w:tc>
      </w:tr>
      <w:tr w14:paraId="30E7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00" w:type="pct"/>
            <w:gridSpan w:val="2"/>
            <w:tcBorders>
              <w:top w:val="nil"/>
              <w:left w:val="nil"/>
              <w:bottom w:val="nil"/>
              <w:right w:val="nil"/>
            </w:tcBorders>
          </w:tcPr>
          <w:p w14:paraId="569E7055">
            <w:pPr>
              <w:widowControl/>
              <w:spacing w:line="480" w:lineRule="exact"/>
              <w:ind w:firstLine="480" w:firstLineChars="200"/>
              <w:jc w:val="center"/>
              <w:rPr>
                <w:rFonts w:ascii="Times New Roman" w:hAnsi="Times New Roman" w:eastAsia="宋体" w:cs="Times New Roman"/>
                <w:color w:val="auto"/>
                <w:kern w:val="0"/>
                <w:sz w:val="24"/>
                <w:lang w:bidi="ar"/>
              </w:rPr>
            </w:pPr>
            <w:r>
              <w:rPr>
                <w:rFonts w:ascii="Times New Roman" w:hAnsi="Times New Roman" w:eastAsia="宋体" w:cs="Times New Roman"/>
                <w:color w:val="auto"/>
                <w:kern w:val="0"/>
                <w:sz w:val="24"/>
                <w:lang w:bidi="ar"/>
              </w:rPr>
              <w:t>签订地点：</w:t>
            </w:r>
          </w:p>
        </w:tc>
      </w:tr>
      <w:bookmarkEnd w:id="199"/>
      <w:bookmarkEnd w:id="200"/>
      <w:bookmarkEnd w:id="201"/>
    </w:tbl>
    <w:p w14:paraId="0FD90512">
      <w:pPr>
        <w:pageBreakBefore w:val="0"/>
        <w:widowControl w:val="0"/>
        <w:kinsoku/>
        <w:wordWrap/>
        <w:overflowPunct/>
        <w:topLinePunct w:val="0"/>
        <w:autoSpaceDE/>
        <w:autoSpaceDN/>
        <w:bidi w:val="0"/>
        <w:adjustRightInd/>
        <w:snapToGrid/>
        <w:spacing w:line="560" w:lineRule="exact"/>
        <w:ind w:firstLine="562"/>
        <w:textAlignment w:val="auto"/>
        <w:rPr>
          <w:rFonts w:hint="eastAsia" w:ascii="Times New Roman" w:hAnsi="Times New Roman" w:eastAsia="方正小标宋简体" w:cs="Times New Roman"/>
          <w:color w:val="auto"/>
          <w:sz w:val="44"/>
          <w:szCs w:val="44"/>
        </w:rPr>
      </w:pPr>
      <w:bookmarkStart w:id="202" w:name="_Toc5989"/>
      <w:r>
        <w:rPr>
          <w:rFonts w:ascii="Times New Roman" w:hAnsi="Times New Roman" w:eastAsia="仿宋" w:cs="Times New Roman"/>
          <w:b/>
          <w:color w:val="auto"/>
          <w:sz w:val="28"/>
          <w:szCs w:val="28"/>
        </w:rPr>
        <w:br w:type="page"/>
      </w:r>
      <w:bookmarkEnd w:id="202"/>
      <w:r>
        <w:rPr>
          <w:rFonts w:hint="eastAsia" w:ascii="仿宋" w:hAnsi="仿宋" w:eastAsia="仿宋" w:cs="仿宋"/>
          <w:b/>
          <w:color w:val="auto"/>
          <w:sz w:val="28"/>
          <w:szCs w:val="28"/>
        </w:rPr>
        <w:t>附件1</w:t>
      </w:r>
      <w:r>
        <w:rPr>
          <w:rFonts w:ascii="Times New Roman" w:hAnsi="Times New Roman" w:eastAsia="仿宋" w:cs="Times New Roman"/>
          <w:b/>
          <w:color w:val="auto"/>
          <w:sz w:val="28"/>
          <w:szCs w:val="28"/>
        </w:rPr>
        <w:t>：</w:t>
      </w:r>
      <w:r>
        <w:rPr>
          <w:rFonts w:hint="eastAsia" w:ascii="Times New Roman" w:hAnsi="Times New Roman" w:eastAsia="仿宋" w:cs="Times New Roman"/>
          <w:b/>
          <w:color w:val="auto"/>
          <w:sz w:val="28"/>
          <w:szCs w:val="28"/>
          <w:lang w:val="en-US" w:eastAsia="zh-CN"/>
        </w:rPr>
        <w:t xml:space="preserve">           </w:t>
      </w:r>
      <w:r>
        <w:rPr>
          <w:rFonts w:hint="eastAsia" w:ascii="Times New Roman" w:hAnsi="Times New Roman" w:eastAsia="方正小标宋简体" w:cs="Times New Roman"/>
          <w:color w:val="auto"/>
          <w:sz w:val="44"/>
          <w:szCs w:val="44"/>
        </w:rPr>
        <w:t>履约保证金格式</w:t>
      </w:r>
    </w:p>
    <w:p w14:paraId="6C0C38C3">
      <w:pPr>
        <w:spacing w:line="560" w:lineRule="exact"/>
        <w:ind w:firstLine="562"/>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如采用银行保函，格式如下。</w:t>
      </w:r>
    </w:p>
    <w:p w14:paraId="729F0069">
      <w:pPr>
        <w:spacing w:line="560" w:lineRule="exact"/>
        <w:ind w:firstLine="562"/>
        <w:jc w:val="center"/>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履 约 保 证 金</w:t>
      </w:r>
    </w:p>
    <w:p w14:paraId="361BDF37">
      <w:pPr>
        <w:spacing w:line="560" w:lineRule="exact"/>
        <w:ind w:firstLine="562"/>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u w:val="single"/>
        </w:rPr>
        <w:t xml:space="preserve">             </w:t>
      </w:r>
      <w:r>
        <w:rPr>
          <w:rFonts w:hint="default" w:ascii="Times New Roman" w:hAnsi="Times New Roman" w:eastAsia="仿宋_GB2312" w:cs="Times New Roman"/>
          <w:b w:val="0"/>
          <w:bCs/>
          <w:color w:val="auto"/>
          <w:sz w:val="28"/>
          <w:szCs w:val="28"/>
          <w:u w:val="single"/>
        </w:rPr>
        <w:tab/>
      </w:r>
      <w:r>
        <w:rPr>
          <w:rFonts w:hint="default" w:ascii="Times New Roman" w:hAnsi="Times New Roman" w:eastAsia="仿宋_GB2312" w:cs="Times New Roman"/>
          <w:b w:val="0"/>
          <w:bCs/>
          <w:color w:val="auto"/>
          <w:sz w:val="28"/>
          <w:szCs w:val="28"/>
          <w:u w:val="single"/>
        </w:rPr>
        <w:tab/>
      </w:r>
      <w:r>
        <w:rPr>
          <w:rFonts w:hint="default" w:ascii="Times New Roman" w:hAnsi="Times New Roman" w:eastAsia="仿宋_GB2312" w:cs="Times New Roman"/>
          <w:b w:val="0"/>
          <w:bCs/>
          <w:color w:val="auto"/>
          <w:sz w:val="28"/>
          <w:szCs w:val="28"/>
          <w:u w:val="single"/>
        </w:rPr>
        <w:t xml:space="preserve">  </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甲方名称</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w:t>
      </w:r>
    </w:p>
    <w:p w14:paraId="38383D27">
      <w:pPr>
        <w:spacing w:line="560" w:lineRule="exact"/>
        <w:ind w:firstLine="562"/>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鉴于</w:t>
      </w:r>
      <w:r>
        <w:rPr>
          <w:rFonts w:hint="default" w:ascii="Times New Roman" w:hAnsi="Times New Roman" w:eastAsia="仿宋_GB2312" w:cs="Times New Roman"/>
          <w:b w:val="0"/>
          <w:bCs/>
          <w:color w:val="auto"/>
          <w:sz w:val="28"/>
          <w:szCs w:val="28"/>
          <w:u w:val="single"/>
        </w:rPr>
        <w:t xml:space="preserve">           </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甲方名称，以下简称“甲方”</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接受</w:t>
      </w:r>
      <w:r>
        <w:rPr>
          <w:rFonts w:hint="default" w:ascii="Times New Roman" w:hAnsi="Times New Roman" w:eastAsia="仿宋_GB2312" w:cs="Times New Roman"/>
          <w:b w:val="0"/>
          <w:bCs/>
          <w:color w:val="auto"/>
          <w:sz w:val="28"/>
          <w:szCs w:val="28"/>
          <w:u w:val="single"/>
        </w:rPr>
        <w:t xml:space="preserve">        </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乙方名称</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以下称“乙方”</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于</w:t>
      </w:r>
      <w:r>
        <w:rPr>
          <w:rFonts w:hint="default" w:ascii="Times New Roman" w:hAnsi="Times New Roman" w:eastAsia="仿宋_GB2312" w:cs="Times New Roman"/>
          <w:b w:val="0"/>
          <w:bCs/>
          <w:color w:val="auto"/>
          <w:sz w:val="28"/>
          <w:szCs w:val="28"/>
          <w:u w:val="single"/>
        </w:rPr>
        <w:t xml:space="preserve">     </w:t>
      </w:r>
      <w:r>
        <w:rPr>
          <w:rFonts w:hint="default" w:ascii="Times New Roman" w:hAnsi="Times New Roman" w:eastAsia="仿宋_GB2312" w:cs="Times New Roman"/>
          <w:b w:val="0"/>
          <w:bCs/>
          <w:color w:val="auto"/>
          <w:sz w:val="28"/>
          <w:szCs w:val="28"/>
        </w:rPr>
        <w:t>年</w:t>
      </w:r>
      <w:r>
        <w:rPr>
          <w:rFonts w:hint="default" w:ascii="Times New Roman" w:hAnsi="Times New Roman" w:eastAsia="仿宋_GB2312" w:cs="Times New Roman"/>
          <w:b w:val="0"/>
          <w:bCs/>
          <w:color w:val="auto"/>
          <w:sz w:val="28"/>
          <w:szCs w:val="28"/>
          <w:u w:val="single"/>
        </w:rPr>
        <w:t xml:space="preserve">    </w:t>
      </w:r>
      <w:r>
        <w:rPr>
          <w:rFonts w:hint="default" w:ascii="Times New Roman" w:hAnsi="Times New Roman" w:eastAsia="仿宋_GB2312" w:cs="Times New Roman"/>
          <w:b w:val="0"/>
          <w:bCs/>
          <w:color w:val="auto"/>
          <w:sz w:val="28"/>
          <w:szCs w:val="28"/>
        </w:rPr>
        <w:t>月</w:t>
      </w:r>
      <w:r>
        <w:rPr>
          <w:rFonts w:hint="default" w:ascii="Times New Roman" w:hAnsi="Times New Roman" w:eastAsia="仿宋_GB2312" w:cs="Times New Roman"/>
          <w:b w:val="0"/>
          <w:bCs/>
          <w:color w:val="auto"/>
          <w:sz w:val="28"/>
          <w:szCs w:val="28"/>
          <w:u w:val="single"/>
        </w:rPr>
        <w:t xml:space="preserve">    </w:t>
      </w:r>
      <w:r>
        <w:rPr>
          <w:rFonts w:hint="default" w:ascii="Times New Roman" w:hAnsi="Times New Roman" w:eastAsia="仿宋_GB2312" w:cs="Times New Roman"/>
          <w:b w:val="0"/>
          <w:bCs/>
          <w:color w:val="auto"/>
          <w:sz w:val="28"/>
          <w:szCs w:val="28"/>
        </w:rPr>
        <w:t>日参加</w:t>
      </w:r>
      <w:r>
        <w:rPr>
          <w:rFonts w:hint="default" w:ascii="Times New Roman" w:hAnsi="Times New Roman" w:eastAsia="仿宋_GB2312" w:cs="Times New Roman"/>
          <w:b w:val="0"/>
          <w:bCs/>
          <w:color w:val="auto"/>
          <w:sz w:val="28"/>
          <w:szCs w:val="28"/>
          <w:u w:val="single"/>
        </w:rPr>
        <w:t xml:space="preserve">           </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项目名称</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的报价。我方愿意无条件地、不可撤销地就乙方履行与你方订立的合同，向你方提供担保。</w:t>
      </w:r>
    </w:p>
    <w:p w14:paraId="3AC1B439">
      <w:pPr>
        <w:spacing w:line="560" w:lineRule="exact"/>
        <w:ind w:firstLine="562"/>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1、担保金额人民币</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大写</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u w:val="single"/>
        </w:rPr>
        <w:t xml:space="preserve">        </w:t>
      </w:r>
      <w:r>
        <w:rPr>
          <w:rFonts w:hint="default" w:ascii="Times New Roman" w:hAnsi="Times New Roman" w:eastAsia="仿宋_GB2312" w:cs="Times New Roman"/>
          <w:b w:val="0"/>
          <w:bCs/>
          <w:color w:val="auto"/>
          <w:sz w:val="28"/>
          <w:szCs w:val="28"/>
        </w:rPr>
        <w:t>元</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w:t>
      </w:r>
      <w:r>
        <w:rPr>
          <w:rFonts w:hint="default" w:ascii="Times New Roman" w:hAnsi="Times New Roman" w:eastAsia="仿宋_GB2312" w:cs="Times New Roman"/>
          <w:b w:val="0"/>
          <w:bCs/>
          <w:color w:val="auto"/>
          <w:sz w:val="28"/>
          <w:szCs w:val="28"/>
          <w:u w:val="single"/>
        </w:rPr>
        <w:t xml:space="preserve">         </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w:t>
      </w:r>
    </w:p>
    <w:p w14:paraId="41AF29DE">
      <w:pPr>
        <w:spacing w:line="560" w:lineRule="exact"/>
        <w:ind w:firstLine="562"/>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2、担保有效期自甲方与乙方签订的合同生效之日起至甲方验收本项目货物验收通过之日止。</w:t>
      </w:r>
    </w:p>
    <w:p w14:paraId="25FE11AF">
      <w:pPr>
        <w:spacing w:line="560" w:lineRule="exact"/>
        <w:ind w:firstLine="562"/>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3、在本担保有效期内，因乙方违反合同约定的义务给你方造成经济损失时，我方在收到你方以书面形式提出的在担保金额内的赔偿要求后，在7天内无条件支付，无须你方出具证明或陈述理由。</w:t>
      </w:r>
    </w:p>
    <w:p w14:paraId="13CF4980">
      <w:pPr>
        <w:spacing w:line="560" w:lineRule="exact"/>
        <w:ind w:firstLine="562"/>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4、甲方和乙方按合同条款进行变更合同时，无论我方是否收到该变更，我方承担本担保规定的义务不变。</w:t>
      </w:r>
    </w:p>
    <w:p w14:paraId="3E690758">
      <w:pPr>
        <w:spacing w:line="560" w:lineRule="exact"/>
        <w:ind w:firstLine="562"/>
        <w:rPr>
          <w:rFonts w:hint="eastAsia" w:ascii="Times New Roman" w:hAnsi="Times New Roman" w:eastAsia="仿宋_GB2312" w:cs="Times New Roman"/>
          <w:b w:val="0"/>
          <w:bCs/>
          <w:color w:val="auto"/>
          <w:sz w:val="28"/>
          <w:szCs w:val="28"/>
          <w:lang w:eastAsia="zh-CN"/>
        </w:rPr>
      </w:pPr>
      <w:r>
        <w:rPr>
          <w:rFonts w:hint="default" w:ascii="Times New Roman" w:hAnsi="Times New Roman" w:eastAsia="仿宋_GB2312" w:cs="Times New Roman"/>
          <w:b w:val="0"/>
          <w:bCs/>
          <w:color w:val="auto"/>
          <w:sz w:val="28"/>
          <w:szCs w:val="28"/>
        </w:rPr>
        <w:t>担 保 人 名 称：</w:t>
      </w:r>
      <w:r>
        <w:rPr>
          <w:rFonts w:hint="default" w:ascii="Times New Roman" w:hAnsi="Times New Roman" w:eastAsia="仿宋_GB2312" w:cs="Times New Roman"/>
          <w:b w:val="0"/>
          <w:bCs/>
          <w:color w:val="auto"/>
          <w:sz w:val="28"/>
          <w:szCs w:val="28"/>
          <w:u w:val="single"/>
        </w:rPr>
        <w:t xml:space="preserve">              </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盖单位章</w:t>
      </w:r>
      <w:r>
        <w:rPr>
          <w:rFonts w:hint="eastAsia" w:ascii="Times New Roman" w:hAnsi="Times New Roman" w:eastAsia="仿宋_GB2312" w:cs="Times New Roman"/>
          <w:b w:val="0"/>
          <w:bCs/>
          <w:color w:val="auto"/>
          <w:sz w:val="28"/>
          <w:szCs w:val="28"/>
          <w:lang w:eastAsia="zh-CN"/>
        </w:rPr>
        <w:t>）</w:t>
      </w:r>
    </w:p>
    <w:p w14:paraId="15206903">
      <w:pPr>
        <w:spacing w:line="560" w:lineRule="exact"/>
        <w:ind w:firstLine="562"/>
        <w:rPr>
          <w:rFonts w:hint="eastAsia" w:ascii="Times New Roman" w:hAnsi="Times New Roman" w:eastAsia="仿宋_GB2312" w:cs="Times New Roman"/>
          <w:b w:val="0"/>
          <w:bCs/>
          <w:color w:val="auto"/>
          <w:sz w:val="28"/>
          <w:szCs w:val="28"/>
          <w:lang w:eastAsia="zh-CN"/>
        </w:rPr>
      </w:pPr>
      <w:r>
        <w:rPr>
          <w:rFonts w:hint="default" w:ascii="Times New Roman" w:hAnsi="Times New Roman" w:eastAsia="仿宋_GB2312" w:cs="Times New Roman"/>
          <w:b w:val="0"/>
          <w:bCs/>
          <w:color w:val="auto"/>
          <w:sz w:val="28"/>
          <w:szCs w:val="28"/>
        </w:rPr>
        <w:t>法定代表人或其委托代理人：</w:t>
      </w:r>
      <w:r>
        <w:rPr>
          <w:rFonts w:hint="default" w:ascii="Times New Roman" w:hAnsi="Times New Roman" w:eastAsia="仿宋_GB2312" w:cs="Times New Roman"/>
          <w:b w:val="0"/>
          <w:bCs/>
          <w:color w:val="auto"/>
          <w:sz w:val="28"/>
          <w:szCs w:val="28"/>
          <w:u w:val="single"/>
        </w:rPr>
        <w:t xml:space="preserve">        </w:t>
      </w:r>
      <w:r>
        <w:rPr>
          <w:rFonts w:hint="eastAsia" w:ascii="Times New Roman" w:hAnsi="Times New Roman" w:eastAsia="仿宋_GB2312" w:cs="Times New Roman"/>
          <w:b w:val="0"/>
          <w:bCs/>
          <w:color w:val="auto"/>
          <w:sz w:val="28"/>
          <w:szCs w:val="28"/>
          <w:lang w:eastAsia="zh-CN"/>
        </w:rPr>
        <w:t>（</w:t>
      </w:r>
      <w:r>
        <w:rPr>
          <w:rFonts w:hint="default" w:ascii="Times New Roman" w:hAnsi="Times New Roman" w:eastAsia="仿宋_GB2312" w:cs="Times New Roman"/>
          <w:b w:val="0"/>
          <w:bCs/>
          <w:color w:val="auto"/>
          <w:sz w:val="28"/>
          <w:szCs w:val="28"/>
        </w:rPr>
        <w:t>签名</w:t>
      </w:r>
      <w:r>
        <w:rPr>
          <w:rFonts w:hint="eastAsia" w:ascii="Times New Roman" w:hAnsi="Times New Roman" w:eastAsia="仿宋_GB2312" w:cs="Times New Roman"/>
          <w:b w:val="0"/>
          <w:bCs/>
          <w:color w:val="auto"/>
          <w:sz w:val="28"/>
          <w:szCs w:val="28"/>
          <w:lang w:eastAsia="zh-CN"/>
        </w:rPr>
        <w:t>）</w:t>
      </w:r>
    </w:p>
    <w:p w14:paraId="29231B0D">
      <w:pPr>
        <w:spacing w:line="560" w:lineRule="exact"/>
        <w:ind w:firstLine="562"/>
        <w:rPr>
          <w:rFonts w:hint="default" w:ascii="Times New Roman" w:hAnsi="Times New Roman" w:eastAsia="仿宋_GB2312" w:cs="Times New Roman"/>
          <w:b w:val="0"/>
          <w:bCs/>
          <w:color w:val="auto"/>
          <w:sz w:val="28"/>
          <w:szCs w:val="28"/>
          <w:u w:val="single"/>
        </w:rPr>
      </w:pPr>
      <w:r>
        <w:rPr>
          <w:rFonts w:hint="default" w:ascii="Times New Roman" w:hAnsi="Times New Roman" w:eastAsia="仿宋_GB2312" w:cs="Times New Roman"/>
          <w:b w:val="0"/>
          <w:bCs/>
          <w:color w:val="auto"/>
          <w:sz w:val="28"/>
          <w:szCs w:val="28"/>
        </w:rPr>
        <w:t>地    址：</w:t>
      </w:r>
      <w:r>
        <w:rPr>
          <w:rFonts w:hint="default" w:ascii="Times New Roman" w:hAnsi="Times New Roman" w:eastAsia="仿宋_GB2312" w:cs="Times New Roman"/>
          <w:b w:val="0"/>
          <w:bCs/>
          <w:color w:val="auto"/>
          <w:sz w:val="28"/>
          <w:szCs w:val="28"/>
          <w:u w:val="single"/>
        </w:rPr>
        <w:tab/>
      </w:r>
      <w:r>
        <w:rPr>
          <w:rFonts w:hint="default" w:ascii="Times New Roman" w:hAnsi="Times New Roman" w:eastAsia="仿宋_GB2312" w:cs="Times New Roman"/>
          <w:b w:val="0"/>
          <w:bCs/>
          <w:color w:val="auto"/>
          <w:sz w:val="28"/>
          <w:szCs w:val="28"/>
          <w:u w:val="single"/>
        </w:rPr>
        <w:tab/>
      </w:r>
      <w:r>
        <w:rPr>
          <w:rFonts w:hint="default" w:ascii="Times New Roman" w:hAnsi="Times New Roman" w:eastAsia="仿宋_GB2312" w:cs="Times New Roman"/>
          <w:b w:val="0"/>
          <w:bCs/>
          <w:color w:val="auto"/>
          <w:sz w:val="28"/>
          <w:szCs w:val="28"/>
          <w:u w:val="single"/>
        </w:rPr>
        <w:tab/>
      </w:r>
      <w:r>
        <w:rPr>
          <w:rFonts w:hint="default" w:ascii="Times New Roman" w:hAnsi="Times New Roman" w:eastAsia="仿宋_GB2312" w:cs="Times New Roman"/>
          <w:b w:val="0"/>
          <w:bCs/>
          <w:color w:val="auto"/>
          <w:sz w:val="28"/>
          <w:szCs w:val="28"/>
          <w:u w:val="single"/>
        </w:rPr>
        <w:t xml:space="preserve">    </w:t>
      </w:r>
      <w:r>
        <w:rPr>
          <w:rFonts w:hint="default" w:ascii="Times New Roman" w:hAnsi="Times New Roman" w:eastAsia="仿宋_GB2312" w:cs="Times New Roman"/>
          <w:b w:val="0"/>
          <w:bCs/>
          <w:color w:val="auto"/>
          <w:sz w:val="28"/>
          <w:szCs w:val="28"/>
          <w:u w:val="single"/>
        </w:rPr>
        <w:tab/>
      </w:r>
      <w:r>
        <w:rPr>
          <w:rFonts w:hint="default" w:ascii="Times New Roman" w:hAnsi="Times New Roman" w:eastAsia="仿宋_GB2312" w:cs="Times New Roman"/>
          <w:b w:val="0"/>
          <w:bCs/>
          <w:color w:val="auto"/>
          <w:sz w:val="28"/>
          <w:szCs w:val="28"/>
          <w:u w:val="single"/>
        </w:rPr>
        <w:tab/>
      </w:r>
    </w:p>
    <w:p w14:paraId="0200F968">
      <w:pPr>
        <w:spacing w:line="560" w:lineRule="exact"/>
        <w:ind w:firstLine="562"/>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邮政编码：</w:t>
      </w:r>
      <w:r>
        <w:rPr>
          <w:rFonts w:hint="default" w:ascii="Times New Roman" w:hAnsi="Times New Roman" w:eastAsia="仿宋_GB2312" w:cs="Times New Roman"/>
          <w:b w:val="0"/>
          <w:bCs/>
          <w:color w:val="auto"/>
          <w:sz w:val="28"/>
          <w:szCs w:val="28"/>
          <w:u w:val="single"/>
        </w:rPr>
        <w:tab/>
      </w:r>
      <w:r>
        <w:rPr>
          <w:rFonts w:hint="default" w:ascii="Times New Roman" w:hAnsi="Times New Roman" w:eastAsia="仿宋_GB2312" w:cs="Times New Roman"/>
          <w:b w:val="0"/>
          <w:bCs/>
          <w:color w:val="auto"/>
          <w:sz w:val="28"/>
          <w:szCs w:val="28"/>
          <w:u w:val="single"/>
        </w:rPr>
        <w:tab/>
      </w:r>
      <w:r>
        <w:rPr>
          <w:rFonts w:hint="default" w:ascii="Times New Roman" w:hAnsi="Times New Roman" w:eastAsia="仿宋_GB2312" w:cs="Times New Roman"/>
          <w:b w:val="0"/>
          <w:bCs/>
          <w:color w:val="auto"/>
          <w:sz w:val="28"/>
          <w:szCs w:val="28"/>
          <w:u w:val="single"/>
        </w:rPr>
        <w:tab/>
      </w:r>
      <w:r>
        <w:rPr>
          <w:rFonts w:hint="default" w:ascii="Times New Roman" w:hAnsi="Times New Roman" w:eastAsia="仿宋_GB2312" w:cs="Times New Roman"/>
          <w:b w:val="0"/>
          <w:bCs/>
          <w:color w:val="auto"/>
          <w:sz w:val="28"/>
          <w:szCs w:val="28"/>
          <w:u w:val="single"/>
        </w:rPr>
        <w:tab/>
      </w:r>
      <w:r>
        <w:rPr>
          <w:rFonts w:hint="default" w:ascii="Times New Roman" w:hAnsi="Times New Roman" w:eastAsia="仿宋_GB2312" w:cs="Times New Roman"/>
          <w:b w:val="0"/>
          <w:bCs/>
          <w:color w:val="auto"/>
          <w:sz w:val="28"/>
          <w:szCs w:val="28"/>
          <w:u w:val="single"/>
        </w:rPr>
        <w:tab/>
      </w:r>
      <w:r>
        <w:rPr>
          <w:rFonts w:hint="default" w:ascii="Times New Roman" w:hAnsi="Times New Roman" w:eastAsia="仿宋_GB2312" w:cs="Times New Roman"/>
          <w:b w:val="0"/>
          <w:bCs/>
          <w:color w:val="auto"/>
          <w:sz w:val="28"/>
          <w:szCs w:val="28"/>
          <w:u w:val="single"/>
        </w:rPr>
        <w:tab/>
      </w:r>
      <w:r>
        <w:rPr>
          <w:rFonts w:hint="default" w:ascii="Times New Roman" w:hAnsi="Times New Roman" w:eastAsia="仿宋_GB2312" w:cs="Times New Roman"/>
          <w:b w:val="0"/>
          <w:bCs/>
          <w:color w:val="auto"/>
          <w:sz w:val="28"/>
          <w:szCs w:val="28"/>
        </w:rPr>
        <w:tab/>
      </w:r>
    </w:p>
    <w:p w14:paraId="799CA542">
      <w:pPr>
        <w:spacing w:line="560" w:lineRule="exact"/>
        <w:ind w:firstLine="562"/>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电    话：</w:t>
      </w:r>
      <w:r>
        <w:rPr>
          <w:rFonts w:hint="default" w:ascii="Times New Roman" w:hAnsi="Times New Roman" w:eastAsia="仿宋_GB2312" w:cs="Times New Roman"/>
          <w:b w:val="0"/>
          <w:bCs/>
          <w:color w:val="auto"/>
          <w:sz w:val="28"/>
          <w:szCs w:val="28"/>
          <w:u w:val="single"/>
        </w:rPr>
        <w:t xml:space="preserve">                 </w:t>
      </w:r>
      <w:r>
        <w:rPr>
          <w:rFonts w:hint="default" w:ascii="Times New Roman" w:hAnsi="Times New Roman" w:eastAsia="仿宋_GB2312" w:cs="Times New Roman"/>
          <w:b w:val="0"/>
          <w:bCs/>
          <w:color w:val="auto"/>
          <w:sz w:val="28"/>
          <w:szCs w:val="28"/>
        </w:rPr>
        <w:t xml:space="preserve">         </w:t>
      </w:r>
    </w:p>
    <w:p w14:paraId="0ABB176D">
      <w:pPr>
        <w:spacing w:line="560" w:lineRule="exact"/>
        <w:ind w:firstLine="562"/>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传    真：</w:t>
      </w:r>
      <w:r>
        <w:rPr>
          <w:rFonts w:hint="default" w:ascii="Times New Roman" w:hAnsi="Times New Roman" w:eastAsia="仿宋_GB2312" w:cs="Times New Roman"/>
          <w:b w:val="0"/>
          <w:bCs/>
          <w:color w:val="auto"/>
          <w:sz w:val="28"/>
          <w:szCs w:val="28"/>
          <w:u w:val="single"/>
        </w:rPr>
        <w:t xml:space="preserve">                 </w:t>
      </w:r>
      <w:r>
        <w:rPr>
          <w:rFonts w:hint="default" w:ascii="Times New Roman" w:hAnsi="Times New Roman" w:eastAsia="仿宋_GB2312" w:cs="Times New Roman"/>
          <w:b w:val="0"/>
          <w:bCs/>
          <w:color w:val="auto"/>
          <w:sz w:val="28"/>
          <w:szCs w:val="28"/>
        </w:rPr>
        <w:t xml:space="preserve">         </w:t>
      </w:r>
    </w:p>
    <w:p w14:paraId="186EB5DE">
      <w:pPr>
        <w:spacing w:line="560" w:lineRule="exact"/>
        <w:ind w:firstLine="562"/>
        <w:rPr>
          <w:rFonts w:hint="default" w:ascii="Times New Roman" w:hAnsi="Times New Roman" w:eastAsia="仿宋_GB2312" w:cs="Times New Roman"/>
          <w:b w:val="0"/>
          <w:bCs/>
          <w:color w:val="auto"/>
          <w:sz w:val="28"/>
          <w:szCs w:val="28"/>
        </w:rPr>
        <w:sectPr>
          <w:footerReference r:id="rId5" w:type="default"/>
          <w:footnotePr>
            <w:numFmt w:val="decimalEnclosedCircleChinese"/>
          </w:footnotePr>
          <w:pgSz w:w="11906" w:h="16838"/>
          <w:pgMar w:top="1440" w:right="1709" w:bottom="1440" w:left="1797" w:header="851" w:footer="992" w:gutter="0"/>
          <w:pgNumType w:fmt="decimal" w:start="1"/>
          <w:cols w:space="720" w:num="1"/>
          <w:docGrid w:type="linesAndChars" w:linePitch="312" w:charSpace="0"/>
        </w:sectPr>
      </w:pPr>
      <w:r>
        <w:rPr>
          <w:rFonts w:hint="default" w:ascii="Times New Roman" w:hAnsi="Times New Roman" w:eastAsia="仿宋_GB2312" w:cs="Times New Roman"/>
          <w:b w:val="0"/>
          <w:bCs/>
          <w:color w:val="auto"/>
          <w:sz w:val="28"/>
          <w:szCs w:val="28"/>
          <w:u w:val="single"/>
        </w:rPr>
        <w:t xml:space="preserve">        </w:t>
      </w:r>
      <w:r>
        <w:rPr>
          <w:rFonts w:hint="default" w:ascii="Times New Roman" w:hAnsi="Times New Roman" w:eastAsia="仿宋_GB2312" w:cs="Times New Roman"/>
          <w:b w:val="0"/>
          <w:bCs/>
          <w:color w:val="auto"/>
          <w:sz w:val="28"/>
          <w:szCs w:val="28"/>
        </w:rPr>
        <w:t>年</w:t>
      </w:r>
      <w:r>
        <w:rPr>
          <w:rFonts w:hint="default" w:ascii="Times New Roman" w:hAnsi="Times New Roman" w:eastAsia="仿宋_GB2312" w:cs="Times New Roman"/>
          <w:b w:val="0"/>
          <w:bCs/>
          <w:color w:val="auto"/>
          <w:sz w:val="28"/>
          <w:szCs w:val="28"/>
          <w:u w:val="single"/>
        </w:rPr>
        <w:t xml:space="preserve">      </w:t>
      </w:r>
      <w:r>
        <w:rPr>
          <w:rFonts w:hint="default" w:ascii="Times New Roman" w:hAnsi="Times New Roman" w:eastAsia="仿宋_GB2312" w:cs="Times New Roman"/>
          <w:b w:val="0"/>
          <w:bCs/>
          <w:color w:val="auto"/>
          <w:sz w:val="28"/>
          <w:szCs w:val="28"/>
        </w:rPr>
        <w:t>月</w:t>
      </w:r>
      <w:r>
        <w:rPr>
          <w:rFonts w:hint="default" w:ascii="Times New Roman" w:hAnsi="Times New Roman" w:eastAsia="仿宋_GB2312" w:cs="Times New Roman"/>
          <w:b w:val="0"/>
          <w:bCs/>
          <w:color w:val="auto"/>
          <w:sz w:val="28"/>
          <w:szCs w:val="28"/>
          <w:u w:val="single"/>
        </w:rPr>
        <w:t xml:space="preserve">      </w:t>
      </w:r>
      <w:r>
        <w:rPr>
          <w:rFonts w:hint="default" w:ascii="Times New Roman" w:hAnsi="Times New Roman" w:eastAsia="仿宋_GB2312" w:cs="Times New Roman"/>
          <w:b w:val="0"/>
          <w:bCs/>
          <w:color w:val="auto"/>
          <w:sz w:val="28"/>
          <w:szCs w:val="28"/>
        </w:rPr>
        <w:t>日</w:t>
      </w:r>
    </w:p>
    <w:p w14:paraId="2B203AFB">
      <w:pPr>
        <w:pageBreakBefore w:val="0"/>
        <w:widowControl w:val="0"/>
        <w:kinsoku/>
        <w:wordWrap/>
        <w:overflowPunct/>
        <w:topLinePunct w:val="0"/>
        <w:autoSpaceDE/>
        <w:autoSpaceDN/>
        <w:bidi w:val="0"/>
        <w:adjustRightInd/>
        <w:snapToGrid/>
        <w:spacing w:line="560" w:lineRule="exact"/>
        <w:ind w:firstLine="562"/>
        <w:textAlignment w:val="auto"/>
        <w:rPr>
          <w:rFonts w:ascii="Times New Roman" w:hAnsi="Times New Roman" w:eastAsia="方正小标宋简体" w:cs="Times New Roman"/>
          <w:color w:val="auto"/>
          <w:sz w:val="44"/>
          <w:szCs w:val="44"/>
        </w:rPr>
      </w:pP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2</w:t>
      </w:r>
      <w:r>
        <w:rPr>
          <w:rFonts w:ascii="Times New Roman" w:hAnsi="Times New Roman" w:eastAsia="仿宋" w:cs="Times New Roman"/>
          <w:b/>
          <w:color w:val="auto"/>
          <w:sz w:val="28"/>
          <w:szCs w:val="28"/>
        </w:rPr>
        <w:t>：</w:t>
      </w:r>
      <w:r>
        <w:rPr>
          <w:rFonts w:hint="eastAsia" w:ascii="Times New Roman" w:hAnsi="Times New Roman" w:eastAsia="仿宋" w:cs="Times New Roman"/>
          <w:b/>
          <w:color w:val="auto"/>
          <w:sz w:val="28"/>
          <w:szCs w:val="28"/>
          <w:lang w:val="en-US" w:eastAsia="zh-CN"/>
        </w:rPr>
        <w:t xml:space="preserve">             </w:t>
      </w:r>
      <w:r>
        <w:rPr>
          <w:rFonts w:ascii="Times New Roman" w:hAnsi="Times New Roman" w:eastAsia="方正小标宋简体" w:cs="Times New Roman"/>
          <w:color w:val="auto"/>
          <w:sz w:val="44"/>
          <w:szCs w:val="44"/>
        </w:rPr>
        <w:t>廉政合同</w:t>
      </w:r>
    </w:p>
    <w:p w14:paraId="2002FB9E">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为抓好党风廉政建设，规范、约束采供双方行为，确保双方工作人员廉洁从业，</w:t>
      </w:r>
      <w:r>
        <w:rPr>
          <w:rFonts w:hint="default" w:ascii="Times New Roman" w:hAnsi="Times New Roman" w:eastAsia="仿宋_GB2312" w:cs="Times New Roman"/>
          <w:color w:val="auto"/>
          <w:spacing w:val="20"/>
          <w:sz w:val="28"/>
          <w:szCs w:val="28"/>
          <w:u w:val="single"/>
        </w:rPr>
        <w:t>深圳安联尚璟府项目软装家具套装采购（2025~2026年度）项目</w:t>
      </w:r>
      <w:r>
        <w:rPr>
          <w:rFonts w:hint="default" w:ascii="Times New Roman" w:hAnsi="Times New Roman" w:eastAsia="仿宋_GB2312" w:cs="Times New Roman"/>
          <w:color w:val="auto"/>
          <w:spacing w:val="20"/>
          <w:sz w:val="28"/>
          <w:szCs w:val="28"/>
        </w:rPr>
        <w:t>（项目名称）的采购人</w:t>
      </w:r>
      <w:r>
        <w:rPr>
          <w:rFonts w:hint="default" w:ascii="Times New Roman" w:hAnsi="Times New Roman" w:eastAsia="仿宋_GB2312" w:cs="Times New Roman"/>
          <w:color w:val="auto"/>
          <w:spacing w:val="20"/>
          <w:sz w:val="28"/>
          <w:szCs w:val="28"/>
          <w:u w:val="single"/>
        </w:rPr>
        <w:t>有限公司</w:t>
      </w:r>
      <w:r>
        <w:rPr>
          <w:rFonts w:hint="default" w:ascii="Times New Roman" w:hAnsi="Times New Roman" w:eastAsia="仿宋_GB2312" w:cs="Times New Roman"/>
          <w:color w:val="auto"/>
          <w:spacing w:val="20"/>
          <w:sz w:val="28"/>
          <w:szCs w:val="28"/>
        </w:rPr>
        <w:t>（以下简称甲方）与该项目的成交人</w:t>
      </w:r>
      <w:r>
        <w:rPr>
          <w:rFonts w:hint="default" w:ascii="Times New Roman" w:hAnsi="Times New Roman" w:eastAsia="仿宋_GB2312" w:cs="Times New Roman"/>
          <w:color w:val="auto"/>
          <w:spacing w:val="20"/>
          <w:sz w:val="28"/>
          <w:szCs w:val="28"/>
          <w:u w:val="single"/>
        </w:rPr>
        <w:t xml:space="preserve">         </w:t>
      </w:r>
      <w:r>
        <w:rPr>
          <w:rFonts w:hint="default" w:ascii="Times New Roman" w:hAnsi="Times New Roman" w:eastAsia="仿宋_GB2312" w:cs="Times New Roman"/>
          <w:color w:val="auto"/>
          <w:spacing w:val="20"/>
          <w:sz w:val="28"/>
          <w:szCs w:val="28"/>
        </w:rPr>
        <w:t>（以下简称乙方），特订立如下合同。</w:t>
      </w:r>
    </w:p>
    <w:p w14:paraId="0D3C45E2">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1.甲乙双方的权利和义务</w:t>
      </w:r>
    </w:p>
    <w:p w14:paraId="02775599">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（1）严格遵守党的政策和国家有关法律法规的有关规定。</w:t>
      </w:r>
    </w:p>
    <w:p w14:paraId="089DEEA3">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（2）严格执行合同文件，自觉按合同办事。</w:t>
      </w:r>
    </w:p>
    <w:p w14:paraId="41C8F005">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（3）双方的业务活动坚持公开、公正、诚信、透明的原则（法律认定的商业秘密和合同文件另有规定除外），不得损害国家和集体利益。</w:t>
      </w:r>
    </w:p>
    <w:p w14:paraId="3E497D87">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（4）建立健全廉政制度，开展廉政教育和廉洁文化建设，公布举报电话，监督并认真查处违规违纪违法行为。</w:t>
      </w:r>
    </w:p>
    <w:p w14:paraId="0CFF40E5">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（5）发现对方在业务活动中有违反廉政规定的行为，有及时提醒对方纠正的权利和义务。</w:t>
      </w:r>
    </w:p>
    <w:p w14:paraId="347FCF11">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（6）发现对方严重违反本合同义务条款的行为，有向有关部门举报、建议给予处理并要求告知处理结果的权利。</w:t>
      </w:r>
    </w:p>
    <w:p w14:paraId="6A760B99">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2.甲方的义务</w:t>
      </w:r>
    </w:p>
    <w:p w14:paraId="7EF3FE53">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（1）甲方及其工作人员不得利用职务之便索要或接受乙方的礼品、礼金、消费卡和有价证券、股权、其他金融产品等财物。</w:t>
      </w:r>
    </w:p>
    <w:p w14:paraId="51889146">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（2）甲方及其工作人员不得在利用职务之便为乙方谋取利益之前或之后，约定在其离职后收受乙方财物，并在离职后收受。</w:t>
      </w:r>
    </w:p>
    <w:p w14:paraId="568C9E24">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（3）甲方及其工作人员不得在乙方报销应由甲方或个人支付的费用等。</w:t>
      </w:r>
    </w:p>
    <w:p w14:paraId="39516CE3">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（4）甲方及其工作人员不得要求或者接受乙方可能影响公正执行公务的宴请以及旅游、健身、娱乐等活动安排，不得要求和接受乙方提供的交通工具、通讯工具、高档办公用品等。</w:t>
      </w:r>
    </w:p>
    <w:p w14:paraId="4AC7AA8B">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4AF57FA2">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 xml:space="preserve">（6）甲方及其工作人员不得要求乙方购买合同规定外的材料和设备。    </w:t>
      </w:r>
    </w:p>
    <w:p w14:paraId="7561B7BC">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（7）甲方及其工作人员不得有其他可能影响廉洁从业的行为。</w:t>
      </w:r>
    </w:p>
    <w:p w14:paraId="2CBF3E22">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3.乙方义务</w:t>
      </w:r>
    </w:p>
    <w:p w14:paraId="726999F5">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（1）乙方及其工作人员不得以任何形式向甲方及其工作人员行贿或馈赠礼品、礼金、消费卡和有价证券、股权、其他金融产品等财物，以及回扣、好处费、感谢费等。</w:t>
      </w:r>
    </w:p>
    <w:p w14:paraId="7604D101">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（2）乙方及其工作人员不得与甲方及其工作人员约定，甲方及其工作人员利用职务之便为乙方谋取利益，乙方在其离职后给予财物。</w:t>
      </w:r>
    </w:p>
    <w:p w14:paraId="6A306875">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（3）乙方不得以任何名义为甲方及其工作人员报销由甲方单位或个人支付的任何费用。</w:t>
      </w:r>
    </w:p>
    <w:p w14:paraId="0F4980F0">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6FD4B06B">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（5）乙方及其工作人员不得为甲方工作人员住房装修、婚丧嫁娶、出国出境、旅游等提供方便；不得为甲方工作人员的特定关系人以安排工作为名，使其不实际工作却获取薪酬。</w:t>
      </w:r>
    </w:p>
    <w:p w14:paraId="257F7E87">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（6）甲方及其工作人员不得有其他可能影响廉洁从业的行为。</w:t>
      </w:r>
    </w:p>
    <w:p w14:paraId="3F0FE64E">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4.违约责任</w:t>
      </w:r>
    </w:p>
    <w:p w14:paraId="50B2638A">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（1）甲方及其工作人员违反本合同第1、2条，按管理权限，依据有关规定给予党纪政务处分和组织处理；涉嫌犯罪的，移交司法机关追究刑事责任；给乙方单位造成经济损失的，应予以赔偿。</w:t>
      </w:r>
    </w:p>
    <w:p w14:paraId="3B97B389">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（2）乙方及其工作人员违反本合同第1、3条，按管理权限，依据有关规定，给予相关处理；给甲方单位造成经济损失的，应予以赔偿。</w:t>
      </w:r>
    </w:p>
    <w:p w14:paraId="75F893CC">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5.本合同有效期为甲乙双方签署之日起至该合同履行完毕后止。</w:t>
      </w:r>
    </w:p>
    <w:p w14:paraId="0BEA98C3">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6.本合同作为</w:t>
      </w:r>
      <w:r>
        <w:rPr>
          <w:rFonts w:hint="default" w:ascii="Times New Roman" w:hAnsi="Times New Roman" w:eastAsia="仿宋_GB2312" w:cs="Times New Roman"/>
          <w:color w:val="auto"/>
          <w:spacing w:val="20"/>
          <w:sz w:val="28"/>
          <w:szCs w:val="28"/>
          <w:u w:val="single"/>
        </w:rPr>
        <w:t>深圳安联尚璟府项目软装家具套装采购（2025~2026年度）项目合同</w:t>
      </w:r>
      <w:r>
        <w:rPr>
          <w:rFonts w:hint="default" w:ascii="Times New Roman" w:hAnsi="Times New Roman" w:eastAsia="仿宋_GB2312" w:cs="Times New Roman"/>
          <w:color w:val="auto"/>
          <w:spacing w:val="20"/>
          <w:sz w:val="28"/>
          <w:szCs w:val="28"/>
        </w:rPr>
        <w:t>（合同文件名称）的附件，与采购合同具有同等的法律效力，经合同双方签署立即生效。</w:t>
      </w:r>
    </w:p>
    <w:p w14:paraId="61AE452C">
      <w:pPr>
        <w:spacing w:line="560" w:lineRule="exact"/>
        <w:ind w:firstLine="640" w:firstLineChars="20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7.本</w:t>
      </w:r>
      <w:r>
        <w:rPr>
          <w:rFonts w:hint="eastAsia" w:ascii="Times New Roman" w:hAnsi="Times New Roman" w:eastAsia="仿宋_GB2312" w:cs="Times New Roman"/>
          <w:color w:val="auto"/>
          <w:sz w:val="28"/>
          <w:szCs w:val="28"/>
          <w:lang w:val="en-US" w:eastAsia="zh-CN"/>
        </w:rPr>
        <w:t>合同</w:t>
      </w:r>
      <w:r>
        <w:rPr>
          <w:rFonts w:hint="default" w:ascii="Times New Roman" w:hAnsi="Times New Roman" w:eastAsia="仿宋_GB2312" w:cs="Times New Roman"/>
          <w:color w:val="auto"/>
          <w:spacing w:val="20"/>
          <w:sz w:val="28"/>
          <w:szCs w:val="28"/>
        </w:rPr>
        <w:t>一式陆份，经甲乙双方签字并盖章后生效，甲方执肆份，乙方执贰份，具同等法律效力。</w:t>
      </w:r>
    </w:p>
    <w:p w14:paraId="25D1699A">
      <w:pPr>
        <w:spacing w:line="560" w:lineRule="exact"/>
        <w:ind w:firstLine="720"/>
        <w:rPr>
          <w:rFonts w:hint="default" w:ascii="Times New Roman" w:hAnsi="Times New Roman" w:eastAsia="仿宋_GB2312" w:cs="Times New Roman"/>
          <w:color w:val="auto"/>
          <w:spacing w:val="20"/>
          <w:sz w:val="28"/>
          <w:szCs w:val="28"/>
        </w:rPr>
      </w:pPr>
    </w:p>
    <w:p w14:paraId="45D55F17">
      <w:pPr>
        <w:spacing w:line="560" w:lineRule="exact"/>
        <w:ind w:firstLine="720"/>
        <w:rPr>
          <w:rFonts w:hint="default" w:ascii="Times New Roman" w:hAnsi="Times New Roman" w:eastAsia="仿宋_GB2312" w:cs="Times New Roman"/>
          <w:color w:val="auto"/>
          <w:spacing w:val="20"/>
          <w:sz w:val="28"/>
          <w:szCs w:val="28"/>
        </w:rPr>
      </w:pPr>
    </w:p>
    <w:p w14:paraId="3722EB73">
      <w:pPr>
        <w:spacing w:line="560" w:lineRule="exact"/>
        <w:ind w:firstLine="72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甲方单位：（盖章）        乙方单位：（盖章）</w:t>
      </w:r>
    </w:p>
    <w:p w14:paraId="1BD26540">
      <w:pPr>
        <w:spacing w:line="560" w:lineRule="exact"/>
        <w:ind w:firstLine="720"/>
        <w:rPr>
          <w:rFonts w:hint="default" w:ascii="Times New Roman" w:hAnsi="Times New Roman" w:eastAsia="仿宋_GB2312" w:cs="Times New Roman"/>
          <w:color w:val="auto"/>
          <w:spacing w:val="20"/>
          <w:sz w:val="28"/>
          <w:szCs w:val="28"/>
        </w:rPr>
      </w:pPr>
    </w:p>
    <w:p w14:paraId="65341CE7">
      <w:pPr>
        <w:spacing w:line="560" w:lineRule="exact"/>
        <w:ind w:firstLine="72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法定代表人               法定代表人</w:t>
      </w:r>
    </w:p>
    <w:p w14:paraId="2C7C4994">
      <w:pPr>
        <w:spacing w:line="560" w:lineRule="exact"/>
        <w:ind w:firstLine="72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或                      或</w:t>
      </w:r>
    </w:p>
    <w:p w14:paraId="00AB1FF6">
      <w:pPr>
        <w:spacing w:line="560" w:lineRule="exact"/>
        <w:ind w:firstLine="720"/>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 xml:space="preserve">其授权的代理人：          其授权的代理人：          </w:t>
      </w:r>
    </w:p>
    <w:p w14:paraId="11E3B34C">
      <w:pPr>
        <w:spacing w:line="560" w:lineRule="exact"/>
        <w:ind w:firstLine="720"/>
        <w:rPr>
          <w:rFonts w:hint="default" w:ascii="Times New Roman" w:hAnsi="Times New Roman" w:eastAsia="仿宋_GB2312" w:cs="Times New Roman"/>
          <w:color w:val="auto"/>
          <w:spacing w:val="20"/>
          <w:sz w:val="28"/>
          <w:szCs w:val="28"/>
        </w:rPr>
      </w:pPr>
    </w:p>
    <w:p w14:paraId="47447B27">
      <w:pPr>
        <w:spacing w:line="560" w:lineRule="exact"/>
        <w:ind w:firstLine="720"/>
        <w:rPr>
          <w:rFonts w:ascii="Times New Roman" w:hAnsi="Times New Roman" w:eastAsia="宋体" w:cs="Times New Roman"/>
          <w:bCs/>
          <w:color w:val="auto"/>
          <w:sz w:val="28"/>
          <w:szCs w:val="28"/>
        </w:rPr>
      </w:pPr>
      <w:r>
        <w:rPr>
          <w:rFonts w:hint="default" w:ascii="Times New Roman" w:hAnsi="Times New Roman" w:eastAsia="仿宋_GB2312" w:cs="Times New Roman"/>
          <w:color w:val="auto"/>
          <w:spacing w:val="20"/>
          <w:sz w:val="28"/>
          <w:szCs w:val="28"/>
        </w:rPr>
        <w:t>年   月   日              年   月   日</w:t>
      </w:r>
    </w:p>
    <w:p w14:paraId="0116B4DD">
      <w:pPr>
        <w:adjustRightInd w:val="0"/>
        <w:snapToGrid w:val="0"/>
        <w:spacing w:line="560" w:lineRule="exact"/>
        <w:ind w:firstLine="420"/>
        <w:jc w:val="left"/>
        <w:rPr>
          <w:bCs/>
          <w:color w:val="auto"/>
          <w:sz w:val="28"/>
          <w:szCs w:val="28"/>
        </w:rPr>
        <w:sectPr>
          <w:footerReference r:id="rId6" w:type="default"/>
          <w:footnotePr>
            <w:numFmt w:val="decimalEnclosedCircleChinese"/>
          </w:footnotePr>
          <w:pgSz w:w="11906" w:h="16838"/>
          <w:pgMar w:top="1440" w:right="1709" w:bottom="1440" w:left="1797" w:header="851" w:footer="992" w:gutter="0"/>
          <w:pgNumType w:fmt="decimal" w:start="51"/>
          <w:cols w:space="720" w:num="1"/>
          <w:docGrid w:type="linesAndChars" w:linePitch="312" w:charSpace="0"/>
        </w:sectPr>
      </w:pPr>
    </w:p>
    <w:p w14:paraId="13F180B0">
      <w:pPr>
        <w:keepNext/>
        <w:keepLines/>
        <w:pageBreakBefore w:val="0"/>
        <w:widowControl w:val="0"/>
        <w:kinsoku/>
        <w:wordWrap/>
        <w:overflowPunct/>
        <w:topLinePunct w:val="0"/>
        <w:autoSpaceDE/>
        <w:autoSpaceDN/>
        <w:bidi w:val="0"/>
        <w:adjustRightInd/>
        <w:snapToGrid/>
        <w:spacing w:before="120" w:line="560" w:lineRule="exact"/>
        <w:textAlignment w:val="auto"/>
        <w:outlineLvl w:val="1"/>
        <w:rPr>
          <w:rFonts w:ascii="Times New Roman" w:hAnsi="Times New Roman" w:eastAsia="宋体" w:cs="Times New Roman"/>
          <w:color w:val="auto"/>
          <w:szCs w:val="21"/>
        </w:rPr>
      </w:pPr>
      <w:bookmarkStart w:id="203" w:name="_Toc18255"/>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3</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val="en-US" w:eastAsia="zh-CN"/>
        </w:rPr>
        <w:t xml:space="preserve">           </w:t>
      </w:r>
      <w:r>
        <w:rPr>
          <w:rFonts w:ascii="Times New Roman" w:hAnsi="Times New Roman" w:eastAsia="方正小标宋简体" w:cs="Times New Roman"/>
          <w:color w:val="auto"/>
          <w:sz w:val="44"/>
          <w:szCs w:val="44"/>
        </w:rPr>
        <w:t>安全生产合同</w:t>
      </w:r>
      <w:bookmarkEnd w:id="203"/>
    </w:p>
    <w:p w14:paraId="00A1BE3F">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发包人：有限公司                            </w:t>
      </w:r>
    </w:p>
    <w:p w14:paraId="0F33A396">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承包人：                            </w:t>
      </w:r>
    </w:p>
    <w:p w14:paraId="449366D2">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为认真贯彻“安全第一、预防为主、综合治理”的方针，落实安全责任，加强安全生产监督管理，确保工程建设安全生产，结合工作实际，按规定搞好安全防护措施，把安全生产落实到实处，双方特签订</w:t>
      </w:r>
      <w:r>
        <w:rPr>
          <w:rFonts w:hint="eastAsia" w:ascii="Times New Roman" w:hAnsi="Times New Roman" w:eastAsia="仿宋_GB2312" w:cs="Times New Roman"/>
          <w:color w:val="auto"/>
          <w:sz w:val="28"/>
          <w:szCs w:val="28"/>
          <w:u w:val="single"/>
        </w:rPr>
        <w:t>深圳安联尚璟府项目软装家具套装采购（2025~2026年度）项目</w:t>
      </w:r>
      <w:r>
        <w:rPr>
          <w:rFonts w:ascii="Times New Roman" w:hAnsi="Times New Roman" w:eastAsia="仿宋_GB2312" w:cs="Times New Roman"/>
          <w:color w:val="auto"/>
          <w:sz w:val="28"/>
          <w:szCs w:val="28"/>
        </w:rPr>
        <w:t>安全生产合同。主要内容如下：</w:t>
      </w:r>
    </w:p>
    <w:p w14:paraId="0A03AC20">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一、发包人责任</w:t>
      </w:r>
    </w:p>
    <w:p w14:paraId="30EBBA96">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1.严格遵照《中华人民共和国安全生产法》、《建设工程安全生产管理条例》等有关安全生产规定，依法对承包人进行安全生产监督管理。</w:t>
      </w:r>
    </w:p>
    <w:p w14:paraId="45C538CA">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2.严格按照有关安全生产法律法规条例规定，建立安全生产管理机构，制定各项安全生产规章制度，建立事故应急救援预案。</w:t>
      </w:r>
    </w:p>
    <w:p w14:paraId="2AE5445E">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3.按照“安全第一，预防为主，综合治理”的方针和“管生产必须管安全”的原则进行安全生产管理，做到生产与安全工作同时计划、布置、检查和总结。</w:t>
      </w:r>
    </w:p>
    <w:p w14:paraId="235D879A">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4.督促、指导并检查承包人安全管理人员的安全培训，依法持证上岗。</w:t>
      </w:r>
    </w:p>
    <w:p w14:paraId="11BFF5AB">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5.定期召开安全生产工作会议，及时传达中央及地方有关安全生产精神。</w:t>
      </w:r>
    </w:p>
    <w:p w14:paraId="622650D2">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6.组织对承包人施工现场和安全生产内业资料的检查，监督承包人及时处理各种安全隐患。</w:t>
      </w:r>
    </w:p>
    <w:p w14:paraId="16DA565A">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7.严肃查处违章、违纪行为，对情节严重的依法给予相应处罚。</w:t>
      </w:r>
    </w:p>
    <w:p w14:paraId="7F6E8C7F">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8.发包人的上述所有责任的任何缺失，并不免除承包人依照《中华人民共和国建筑法》等相关法律法规应当承担的安全责任。</w:t>
      </w:r>
    </w:p>
    <w:p w14:paraId="1E213B71">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二、承包人责任</w:t>
      </w:r>
    </w:p>
    <w:p w14:paraId="2737859B">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1.遵守《中华人民共和国安全生产法》、《建设工程安全生产管理条例》及其他相关法律法规的规定，建立安全生产管理机构，配备安全管理人员，制定安全生产责任制等各项规章制度。</w:t>
      </w:r>
    </w:p>
    <w:p w14:paraId="13B9A186">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建立事故应急救援组织和应急救援预案，并定期组织演练；组织开展事故应急知识培训和宣传工作；班组人员应相对固定，不得随意招用社会闲散人员或不明身份者充入班组，无“三证”人员不得进入施工现场；认真开展“三上岗、一讲评”安全活动，对职工进行定期或不定期的安全教育工作；特殊工作必须由持有本专业有效证件人员操作，禁止擅自操作其它工种的一切设备、支架（如接电、开机、拆架等等）。</w:t>
      </w:r>
    </w:p>
    <w:p w14:paraId="3F7E9237">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3.根据工程危险源分析和重大危险性工程施工方案论证情况，切实做好相应安全预警预防工作。</w:t>
      </w:r>
    </w:p>
    <w:p w14:paraId="0FC7C928">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4.对关键工程、要害部位、施工现场、主要机械设备进行定期或不定期检查，发现问题及时处理，严查各种违章、违规现象。</w:t>
      </w:r>
    </w:p>
    <w:p w14:paraId="0DE9A65C">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5.接受地方安监部门监督检查。</w:t>
      </w:r>
    </w:p>
    <w:p w14:paraId="1D0EA4FC">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6.出现事故，立即上报，不得隐瞒、漏报。</w:t>
      </w:r>
    </w:p>
    <w:p w14:paraId="2C22CC70">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三、责任目标</w:t>
      </w:r>
    </w:p>
    <w:p w14:paraId="5DB7B1FD">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杜绝较大安全生产责任事故、重大安全生产责任事故、特大安全生产责任事故发生，完成年度安全生产各项工作任务，安全生产各项考核指标满足规范要求。</w:t>
      </w:r>
    </w:p>
    <w:p w14:paraId="4FD36B90">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四、检查、考核、评定</w:t>
      </w:r>
    </w:p>
    <w:p w14:paraId="5234D9F7">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公司安全生产领导小组办公室进行年度考核，具体方法实行月检查打分制，月检查累计分数将作为工程结束后退还质保金、评定工作的重要依据。</w:t>
      </w:r>
    </w:p>
    <w:p w14:paraId="7C4FD894">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五、本合同自签订之日起至项目竣工验收止。</w:t>
      </w:r>
    </w:p>
    <w:p w14:paraId="43304B4B">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六、本合同作为</w:t>
      </w:r>
      <w:r>
        <w:rPr>
          <w:rFonts w:hint="eastAsia" w:ascii="Times New Roman" w:hAnsi="Times New Roman" w:eastAsia="仿宋_GB2312" w:cs="Times New Roman"/>
          <w:color w:val="auto"/>
          <w:sz w:val="28"/>
          <w:szCs w:val="28"/>
          <w:u w:val="single"/>
        </w:rPr>
        <w:t>深圳安联尚璟府项目软装家具套装采购（2025~2026年度）项目</w:t>
      </w:r>
      <w:r>
        <w:rPr>
          <w:rFonts w:ascii="Times New Roman" w:hAnsi="Times New Roman" w:eastAsia="仿宋_GB2312" w:cs="Times New Roman"/>
          <w:color w:val="auto"/>
          <w:sz w:val="28"/>
          <w:szCs w:val="28"/>
        </w:rPr>
        <w:t>合同的附件，与工程施工合同具有同等的法律效力，经合同双方签署后立即生效。</w:t>
      </w:r>
    </w:p>
    <w:p w14:paraId="73AEB39D">
      <w:pPr>
        <w:tabs>
          <w:tab w:val="left" w:pos="0"/>
        </w:tabs>
        <w:spacing w:line="60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七、本</w:t>
      </w:r>
      <w:r>
        <w:rPr>
          <w:rFonts w:hint="eastAsia" w:ascii="Times New Roman" w:hAnsi="Times New Roman" w:eastAsia="仿宋_GB2312" w:cs="Times New Roman"/>
          <w:color w:val="auto"/>
          <w:sz w:val="28"/>
          <w:szCs w:val="28"/>
          <w:lang w:val="en-US" w:eastAsia="zh-CN"/>
        </w:rPr>
        <w:t>合同</w:t>
      </w:r>
      <w:r>
        <w:rPr>
          <w:rFonts w:ascii="Times New Roman" w:hAnsi="Times New Roman" w:eastAsia="仿宋_GB2312" w:cs="Times New Roman"/>
          <w:color w:val="auto"/>
          <w:sz w:val="28"/>
          <w:szCs w:val="28"/>
        </w:rPr>
        <w:t xml:space="preserve">一式陆份，经甲乙双方签字并盖章后生效，甲方执肆份，乙方执贰份，具同等法律效力。。 </w:t>
      </w:r>
    </w:p>
    <w:p w14:paraId="0ED70535">
      <w:pPr>
        <w:tabs>
          <w:tab w:val="left" w:pos="0"/>
        </w:tabs>
        <w:spacing w:line="600" w:lineRule="exact"/>
        <w:rPr>
          <w:rFonts w:hint="eastAsia"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rPr>
        <w:t>发包人：</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盖单位章</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 xml:space="preserve">             承包人：</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盖单位章</w:t>
      </w:r>
      <w:r>
        <w:rPr>
          <w:rFonts w:hint="eastAsia" w:ascii="Times New Roman" w:hAnsi="Times New Roman" w:eastAsia="仿宋_GB2312" w:cs="Times New Roman"/>
          <w:color w:val="auto"/>
          <w:sz w:val="28"/>
          <w:szCs w:val="28"/>
          <w:lang w:eastAsia="zh-CN"/>
        </w:rPr>
        <w:t>）</w:t>
      </w:r>
    </w:p>
    <w:p w14:paraId="6AE78F19">
      <w:pPr>
        <w:tabs>
          <w:tab w:val="left" w:pos="0"/>
        </w:tabs>
        <w:spacing w:line="600" w:lineRule="exact"/>
        <w:ind w:firstLine="560" w:firstLineChars="200"/>
        <w:rPr>
          <w:rFonts w:ascii="Times New Roman" w:hAnsi="Times New Roman" w:eastAsia="仿宋_GB2312" w:cs="Times New Roman"/>
          <w:color w:val="auto"/>
          <w:sz w:val="28"/>
          <w:szCs w:val="28"/>
        </w:rPr>
      </w:pPr>
    </w:p>
    <w:p w14:paraId="2A44BC22">
      <w:pPr>
        <w:tabs>
          <w:tab w:val="left" w:pos="0"/>
        </w:tabs>
        <w:spacing w:line="60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法定代表人                     法定代表人</w:t>
      </w:r>
    </w:p>
    <w:p w14:paraId="71068240">
      <w:pPr>
        <w:tabs>
          <w:tab w:val="left" w:pos="0"/>
        </w:tabs>
        <w:spacing w:line="60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或其委托代理人：</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签名</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 xml:space="preserve">         或其委托代理人：（签名）</w:t>
      </w:r>
    </w:p>
    <w:p w14:paraId="79B4C77E">
      <w:pPr>
        <w:tabs>
          <w:tab w:val="left" w:pos="0"/>
        </w:tabs>
        <w:spacing w:line="600" w:lineRule="exact"/>
        <w:rPr>
          <w:rFonts w:ascii="Times New Roman" w:hAnsi="Times New Roman" w:eastAsia="宋体" w:cs="Times New Roman"/>
          <w:color w:val="auto"/>
          <w:sz w:val="28"/>
          <w:szCs w:val="28"/>
        </w:rPr>
      </w:pPr>
      <w:r>
        <w:rPr>
          <w:rFonts w:ascii="Times New Roman" w:hAnsi="Times New Roman" w:eastAsia="仿宋_GB2312" w:cs="Times New Roman"/>
          <w:color w:val="auto"/>
          <w:sz w:val="28"/>
          <w:szCs w:val="28"/>
        </w:rPr>
        <w:t>年  月  日                           年   月  日</w:t>
      </w:r>
    </w:p>
    <w:p w14:paraId="5B80BDAB">
      <w:pPr>
        <w:pageBreakBefore w:val="0"/>
        <w:widowControl w:val="0"/>
        <w:kinsoku/>
        <w:wordWrap/>
        <w:overflowPunct/>
        <w:topLinePunct w:val="0"/>
        <w:autoSpaceDE/>
        <w:autoSpaceDN/>
        <w:bidi w:val="0"/>
        <w:adjustRightInd/>
        <w:snapToGrid/>
        <w:spacing w:line="560" w:lineRule="exact"/>
        <w:ind w:firstLine="562"/>
        <w:jc w:val="left"/>
        <w:textAlignment w:val="auto"/>
        <w:rPr>
          <w:rFonts w:ascii="Times New Roman" w:hAnsi="Times New Roman" w:eastAsia="仿宋" w:cs="Times New Roman"/>
          <w:b/>
          <w:color w:val="auto"/>
          <w:sz w:val="28"/>
          <w:szCs w:val="28"/>
        </w:rPr>
      </w:pPr>
      <w:r>
        <w:rPr>
          <w:rFonts w:ascii="Times New Roman" w:hAnsi="Times New Roman" w:eastAsia="仿宋" w:cs="Times New Roman"/>
          <w:b/>
          <w:color w:val="auto"/>
          <w:sz w:val="28"/>
          <w:szCs w:val="28"/>
        </w:rPr>
        <w:br w:type="page"/>
      </w: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4</w:t>
      </w:r>
      <w:r>
        <w:rPr>
          <w:rFonts w:ascii="Times New Roman" w:hAnsi="Times New Roman" w:eastAsia="仿宋" w:cs="Times New Roman"/>
          <w:b/>
          <w:color w:val="auto"/>
          <w:sz w:val="28"/>
          <w:szCs w:val="28"/>
        </w:rPr>
        <w:t>：</w:t>
      </w:r>
      <w:r>
        <w:rPr>
          <w:rFonts w:hint="eastAsia" w:ascii="Times New Roman" w:hAnsi="Times New Roman" w:eastAsia="仿宋" w:cs="Times New Roman"/>
          <w:b/>
          <w:color w:val="auto"/>
          <w:sz w:val="28"/>
          <w:szCs w:val="28"/>
          <w:lang w:val="en-US" w:eastAsia="zh-CN"/>
        </w:rPr>
        <w:t xml:space="preserve">          </w:t>
      </w:r>
      <w:r>
        <w:rPr>
          <w:rFonts w:ascii="Times New Roman" w:hAnsi="Times New Roman" w:eastAsia="方正小标宋简体" w:cs="Times New Roman"/>
          <w:color w:val="auto"/>
          <w:sz w:val="44"/>
          <w:szCs w:val="44"/>
        </w:rPr>
        <w:t>家</w:t>
      </w:r>
      <w:r>
        <w:rPr>
          <w:rFonts w:hint="eastAsia" w:ascii="Times New Roman" w:hAnsi="Times New Roman" w:eastAsia="方正小标宋简体" w:cs="Times New Roman"/>
          <w:color w:val="auto"/>
          <w:sz w:val="44"/>
          <w:szCs w:val="44"/>
          <w:lang w:val="en-US" w:eastAsia="zh-CN"/>
        </w:rPr>
        <w:t>具报价</w:t>
      </w:r>
      <w:r>
        <w:rPr>
          <w:rFonts w:ascii="Times New Roman" w:hAnsi="Times New Roman" w:eastAsia="方正小标宋简体" w:cs="Times New Roman"/>
          <w:color w:val="auto"/>
          <w:sz w:val="44"/>
          <w:szCs w:val="44"/>
        </w:rPr>
        <w:t>清单</w:t>
      </w:r>
    </w:p>
    <w:p w14:paraId="0DA05D1D">
      <w:pPr>
        <w:spacing w:line="440" w:lineRule="exact"/>
        <w:ind w:firstLine="562"/>
        <w:jc w:val="left"/>
        <w:rPr>
          <w:rFonts w:ascii="Times New Roman" w:hAnsi="Times New Roman" w:eastAsia="仿宋" w:cs="Times New Roman"/>
          <w:b/>
          <w:i/>
          <w:iCs/>
          <w:color w:val="auto"/>
          <w:sz w:val="28"/>
          <w:szCs w:val="28"/>
        </w:rPr>
      </w:pPr>
      <w:r>
        <w:rPr>
          <w:rFonts w:hint="eastAsia" w:ascii="Times New Roman" w:hAnsi="Times New Roman" w:eastAsia="仿宋" w:cs="Times New Roman"/>
          <w:b/>
          <w:i/>
          <w:iCs/>
          <w:color w:val="auto"/>
          <w:sz w:val="28"/>
          <w:szCs w:val="28"/>
        </w:rPr>
        <w:t>（以</w:t>
      </w:r>
      <w:r>
        <w:rPr>
          <w:rFonts w:hint="eastAsia" w:ascii="Times New Roman" w:hAnsi="Times New Roman" w:eastAsia="仿宋" w:cs="Times New Roman"/>
          <w:b/>
          <w:i/>
          <w:iCs/>
          <w:color w:val="auto"/>
          <w:sz w:val="28"/>
          <w:szCs w:val="28"/>
          <w:lang w:val="en-US" w:eastAsia="zh-CN"/>
        </w:rPr>
        <w:t>响应</w:t>
      </w:r>
      <w:r>
        <w:rPr>
          <w:rFonts w:hint="eastAsia" w:ascii="Times New Roman" w:hAnsi="Times New Roman" w:eastAsia="仿宋" w:cs="Times New Roman"/>
          <w:b/>
          <w:i/>
          <w:iCs/>
          <w:color w:val="auto"/>
          <w:sz w:val="28"/>
          <w:szCs w:val="28"/>
        </w:rPr>
        <w:t>文件为准）</w:t>
      </w:r>
    </w:p>
    <w:p w14:paraId="7F74E810">
      <w:pPr>
        <w:ind w:firstLine="420"/>
        <w:rPr>
          <w:color w:val="auto"/>
        </w:rPr>
        <w:sectPr>
          <w:headerReference r:id="rId7" w:type="default"/>
          <w:footerReference r:id="rId8" w:type="default"/>
          <w:footnotePr>
            <w:numFmt w:val="decimalEnclosedCircleChinese"/>
          </w:footnotePr>
          <w:pgSz w:w="11906" w:h="16838"/>
          <w:pgMar w:top="1440" w:right="1709" w:bottom="1440" w:left="1797" w:header="851" w:footer="992" w:gutter="0"/>
          <w:pgNumType w:fmt="decimal"/>
          <w:cols w:space="720" w:num="1"/>
          <w:docGrid w:type="linesAndChars" w:linePitch="312" w:charSpace="0"/>
        </w:sectPr>
      </w:pPr>
    </w:p>
    <w:p w14:paraId="4BCD4F44">
      <w:pPr>
        <w:pageBreakBefore w:val="0"/>
        <w:widowControl w:val="0"/>
        <w:kinsoku/>
        <w:wordWrap/>
        <w:overflowPunct/>
        <w:topLinePunct w:val="0"/>
        <w:autoSpaceDE/>
        <w:autoSpaceDN/>
        <w:bidi w:val="0"/>
        <w:adjustRightInd/>
        <w:snapToGrid/>
        <w:spacing w:line="560" w:lineRule="exact"/>
        <w:ind w:firstLine="562"/>
        <w:jc w:val="left"/>
        <w:textAlignment w:val="auto"/>
        <w:rPr>
          <w:rFonts w:hint="eastAsia" w:ascii="仿宋" w:hAnsi="仿宋" w:eastAsia="仿宋" w:cs="仿宋"/>
          <w:b/>
          <w:color w:val="auto"/>
          <w:sz w:val="28"/>
          <w:szCs w:val="28"/>
          <w:shd w:val="clear" w:color="auto" w:fill="auto"/>
        </w:rPr>
      </w:pPr>
      <w:bookmarkStart w:id="204" w:name="_Toc23965"/>
      <w:permStart w:id="0" w:edGrp="everyone"/>
      <w:r>
        <w:rPr>
          <w:rFonts w:hint="eastAsia" w:ascii="仿宋" w:hAnsi="仿宋" w:eastAsia="仿宋" w:cs="仿宋"/>
          <w:b/>
          <w:color w:val="auto"/>
          <w:sz w:val="28"/>
          <w:szCs w:val="28"/>
          <w:shd w:val="clear" w:color="auto" w:fill="auto"/>
        </w:rPr>
        <w:t>附件</w:t>
      </w:r>
      <w:r>
        <w:rPr>
          <w:rFonts w:hint="eastAsia" w:ascii="Times New Roman" w:hAnsi="Times New Roman" w:eastAsia="仿宋" w:cs="Times New Roman"/>
          <w:b/>
          <w:color w:val="auto"/>
          <w:sz w:val="28"/>
          <w:szCs w:val="28"/>
          <w:shd w:val="clear" w:color="auto" w:fill="auto"/>
          <w:lang w:val="en-US" w:eastAsia="zh-CN"/>
        </w:rPr>
        <w:t>5</w:t>
      </w:r>
      <w:r>
        <w:rPr>
          <w:rFonts w:hint="eastAsia" w:ascii="仿宋" w:hAnsi="仿宋" w:eastAsia="仿宋" w:cs="仿宋"/>
          <w:b/>
          <w:color w:val="auto"/>
          <w:sz w:val="28"/>
          <w:szCs w:val="28"/>
          <w:shd w:val="clear" w:color="auto" w:fill="auto"/>
        </w:rPr>
        <w:t>：</w:t>
      </w:r>
      <w:r>
        <w:rPr>
          <w:rFonts w:hint="eastAsia" w:ascii="仿宋" w:hAnsi="仿宋" w:eastAsia="仿宋" w:cs="仿宋"/>
          <w:b/>
          <w:color w:val="auto"/>
          <w:sz w:val="28"/>
          <w:szCs w:val="28"/>
          <w:shd w:val="clear" w:color="auto" w:fill="auto"/>
          <w:lang w:val="en-US" w:eastAsia="zh-CN"/>
        </w:rPr>
        <w:t xml:space="preserve">             </w:t>
      </w:r>
      <w:r>
        <w:rPr>
          <w:rFonts w:hint="eastAsia" w:ascii="Times New Roman" w:hAnsi="Times New Roman" w:eastAsia="方正小标宋简体" w:cs="Times New Roman"/>
          <w:color w:val="auto"/>
          <w:sz w:val="44"/>
          <w:szCs w:val="44"/>
          <w:shd w:val="clear" w:color="auto" w:fill="auto"/>
        </w:rPr>
        <w:t>三方验收单</w:t>
      </w:r>
    </w:p>
    <w:p w14:paraId="669F7B40">
      <w:pPr>
        <w:spacing w:line="400" w:lineRule="exact"/>
        <w:ind w:firstLine="480"/>
        <w:rPr>
          <w:rFonts w:hint="eastAsia" w:ascii="宋体" w:hAnsi="宋体" w:cs="宋体"/>
          <w:color w:val="auto"/>
          <w:sz w:val="24"/>
          <w:shd w:val="clear" w:color="auto" w:fill="auto"/>
        </w:rPr>
      </w:pPr>
    </w:p>
    <w:tbl>
      <w:tblPr>
        <w:tblStyle w:val="22"/>
        <w:tblpPr w:leftFromText="180" w:rightFromText="180" w:vertAnchor="text" w:horzAnchor="page" w:tblpX="1779" w:tblpY="744"/>
        <w:tblOverlap w:val="never"/>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35"/>
        <w:gridCol w:w="1162"/>
        <w:gridCol w:w="3694"/>
        <w:gridCol w:w="1491"/>
      </w:tblGrid>
      <w:tr w14:paraId="289E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4E4B05">
            <w:pPr>
              <w:widowControl w:val="0"/>
              <w:spacing w:after="0" w:line="400" w:lineRule="exact"/>
              <w:jc w:val="center"/>
              <w:rPr>
                <w:rFonts w:hint="eastAsia" w:ascii="宋体" w:hAnsi="宋体" w:eastAsia="宋体" w:cs="宋体"/>
                <w:b/>
                <w:bCs/>
                <w:color w:val="auto"/>
                <w:kern w:val="2"/>
                <w:sz w:val="24"/>
                <w:szCs w:val="24"/>
                <w:shd w:val="clear" w:color="auto" w:fill="auto"/>
                <w:lang w:val="en-US" w:eastAsia="zh-CN" w:bidi="ar-SA"/>
              </w:rPr>
            </w:pPr>
            <w:r>
              <w:rPr>
                <w:rFonts w:hint="eastAsia" w:ascii="宋体" w:hAnsi="宋体" w:eastAsia="宋体" w:cs="宋体"/>
                <w:b/>
                <w:bCs/>
                <w:color w:val="auto"/>
                <w:kern w:val="2"/>
                <w:sz w:val="24"/>
                <w:szCs w:val="24"/>
                <w:shd w:val="clear" w:color="auto" w:fill="auto"/>
                <w:lang w:val="en-US" w:eastAsia="zh-CN" w:bidi="ar-SA"/>
              </w:rPr>
              <w:t>序号</w:t>
            </w:r>
          </w:p>
        </w:tc>
        <w:tc>
          <w:tcPr>
            <w:tcW w:w="1835" w:type="dxa"/>
            <w:vAlign w:val="center"/>
          </w:tcPr>
          <w:p w14:paraId="1BA0A64E">
            <w:pPr>
              <w:widowControl w:val="0"/>
              <w:spacing w:after="0" w:line="400" w:lineRule="exact"/>
              <w:jc w:val="center"/>
              <w:rPr>
                <w:rFonts w:hint="eastAsia" w:ascii="宋体" w:hAnsi="宋体" w:eastAsia="宋体" w:cs="宋体"/>
                <w:b/>
                <w:bCs/>
                <w:color w:val="auto"/>
                <w:kern w:val="2"/>
                <w:sz w:val="24"/>
                <w:szCs w:val="24"/>
                <w:shd w:val="clear" w:color="auto" w:fill="auto"/>
                <w:lang w:val="en-US" w:eastAsia="zh-CN" w:bidi="ar-SA"/>
              </w:rPr>
            </w:pPr>
            <w:r>
              <w:rPr>
                <w:rFonts w:hint="eastAsia" w:ascii="宋体" w:hAnsi="宋体" w:eastAsia="宋体" w:cs="宋体"/>
                <w:b/>
                <w:bCs/>
                <w:color w:val="auto"/>
                <w:kern w:val="0"/>
                <w:sz w:val="24"/>
                <w:szCs w:val="24"/>
                <w:shd w:val="clear" w:color="auto" w:fill="auto"/>
                <w:lang w:val="en-US" w:eastAsia="zh-CN" w:bidi="ar"/>
              </w:rPr>
              <w:t>名称</w:t>
            </w:r>
          </w:p>
        </w:tc>
        <w:tc>
          <w:tcPr>
            <w:tcW w:w="1162" w:type="dxa"/>
            <w:vAlign w:val="center"/>
          </w:tcPr>
          <w:p w14:paraId="7D18CD9B">
            <w:pPr>
              <w:widowControl w:val="0"/>
              <w:spacing w:after="0" w:line="400" w:lineRule="exact"/>
              <w:jc w:val="center"/>
              <w:rPr>
                <w:rFonts w:hint="eastAsia" w:ascii="宋体" w:hAnsi="宋体" w:eastAsia="宋体" w:cs="宋体"/>
                <w:b/>
                <w:bCs/>
                <w:color w:val="auto"/>
                <w:kern w:val="2"/>
                <w:sz w:val="24"/>
                <w:szCs w:val="24"/>
                <w:shd w:val="clear" w:color="auto" w:fill="auto"/>
                <w:lang w:val="en-US" w:eastAsia="zh-CN" w:bidi="ar-SA"/>
              </w:rPr>
            </w:pPr>
            <w:r>
              <w:rPr>
                <w:rFonts w:hint="eastAsia" w:ascii="宋体" w:hAnsi="宋体" w:eastAsia="宋体" w:cs="宋体"/>
                <w:b/>
                <w:bCs/>
                <w:color w:val="auto"/>
                <w:kern w:val="2"/>
                <w:sz w:val="24"/>
                <w:szCs w:val="24"/>
                <w:shd w:val="clear" w:color="auto" w:fill="auto"/>
                <w:lang w:val="en-US" w:eastAsia="zh-CN" w:bidi="ar-SA"/>
              </w:rPr>
              <w:t>数量</w:t>
            </w:r>
          </w:p>
        </w:tc>
        <w:tc>
          <w:tcPr>
            <w:tcW w:w="3694" w:type="dxa"/>
            <w:vAlign w:val="center"/>
          </w:tcPr>
          <w:p w14:paraId="3B94BA41">
            <w:pPr>
              <w:widowControl w:val="0"/>
              <w:spacing w:after="0" w:line="400" w:lineRule="exact"/>
              <w:jc w:val="center"/>
              <w:rPr>
                <w:rFonts w:hint="eastAsia" w:ascii="宋体" w:hAnsi="宋体" w:eastAsia="宋体" w:cs="宋体"/>
                <w:b/>
                <w:bCs/>
                <w:color w:val="auto"/>
                <w:kern w:val="2"/>
                <w:sz w:val="24"/>
                <w:szCs w:val="24"/>
                <w:shd w:val="clear" w:color="auto" w:fill="auto"/>
                <w:lang w:val="en-US" w:eastAsia="zh-CN" w:bidi="ar-SA"/>
              </w:rPr>
            </w:pPr>
            <w:r>
              <w:rPr>
                <w:rFonts w:hint="eastAsia" w:ascii="宋体" w:hAnsi="宋体" w:eastAsia="宋体" w:cs="宋体"/>
                <w:b/>
                <w:bCs/>
                <w:color w:val="auto"/>
                <w:kern w:val="2"/>
                <w:sz w:val="24"/>
                <w:szCs w:val="24"/>
                <w:shd w:val="clear" w:color="auto" w:fill="auto"/>
                <w:lang w:val="en-US" w:eastAsia="zh-CN" w:bidi="ar-SA"/>
              </w:rPr>
              <w:t>是否达到验收标准（包括家私质量、安装情况等）</w:t>
            </w:r>
          </w:p>
        </w:tc>
        <w:tc>
          <w:tcPr>
            <w:tcW w:w="1491" w:type="dxa"/>
            <w:vAlign w:val="center"/>
          </w:tcPr>
          <w:p w14:paraId="53BA2EB2">
            <w:pPr>
              <w:widowControl w:val="0"/>
              <w:spacing w:after="0" w:line="400" w:lineRule="exact"/>
              <w:jc w:val="center"/>
              <w:rPr>
                <w:rFonts w:hint="eastAsia" w:ascii="宋体" w:hAnsi="宋体" w:eastAsia="宋体" w:cs="宋体"/>
                <w:b/>
                <w:bCs/>
                <w:color w:val="auto"/>
                <w:kern w:val="2"/>
                <w:sz w:val="24"/>
                <w:szCs w:val="24"/>
                <w:shd w:val="clear" w:color="auto" w:fill="auto"/>
                <w:lang w:val="en-US" w:eastAsia="zh-CN" w:bidi="ar-SA"/>
              </w:rPr>
            </w:pPr>
            <w:r>
              <w:rPr>
                <w:rFonts w:hint="eastAsia" w:ascii="宋体" w:hAnsi="宋体" w:eastAsia="宋体" w:cs="宋体"/>
                <w:b/>
                <w:bCs/>
                <w:color w:val="auto"/>
                <w:kern w:val="2"/>
                <w:sz w:val="24"/>
                <w:szCs w:val="24"/>
                <w:shd w:val="clear" w:color="auto" w:fill="auto"/>
                <w:lang w:val="en-US" w:eastAsia="zh-CN" w:bidi="ar-SA"/>
              </w:rPr>
              <w:t>备注</w:t>
            </w:r>
          </w:p>
        </w:tc>
      </w:tr>
      <w:tr w14:paraId="7F49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C66B14C">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w:t>
            </w:r>
          </w:p>
        </w:tc>
        <w:tc>
          <w:tcPr>
            <w:tcW w:w="1835" w:type="dxa"/>
            <w:vAlign w:val="center"/>
          </w:tcPr>
          <w:p w14:paraId="6AAC990F">
            <w:pPr>
              <w:widowControl/>
              <w:spacing w:line="400" w:lineRule="exact"/>
              <w:jc w:val="center"/>
              <w:textAlignment w:val="center"/>
              <w:rPr>
                <w:rFonts w:hint="eastAsia" w:ascii="宋体" w:hAnsi="宋体" w:eastAsia="宋体" w:cs="宋体"/>
                <w:color w:val="auto"/>
                <w:sz w:val="24"/>
                <w:shd w:val="clear" w:color="auto" w:fill="auto"/>
              </w:rPr>
            </w:pPr>
            <w:r>
              <w:rPr>
                <w:rFonts w:hint="eastAsia" w:ascii="宋体" w:hAnsi="宋体" w:eastAsia="宋体" w:cs="宋体"/>
                <w:color w:val="auto"/>
                <w:kern w:val="0"/>
                <w:sz w:val="24"/>
                <w:shd w:val="clear" w:color="auto" w:fill="auto"/>
                <w:lang w:bidi="ar"/>
              </w:rPr>
              <w:t>沙发</w:t>
            </w:r>
          </w:p>
        </w:tc>
        <w:tc>
          <w:tcPr>
            <w:tcW w:w="1162" w:type="dxa"/>
            <w:vAlign w:val="center"/>
          </w:tcPr>
          <w:p w14:paraId="7A78B63A">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3694" w:type="dxa"/>
            <w:vAlign w:val="center"/>
          </w:tcPr>
          <w:p w14:paraId="03F3D0DA">
            <w:pPr>
              <w:widowControl w:val="0"/>
              <w:spacing w:after="0" w:line="400" w:lineRule="exact"/>
              <w:jc w:val="both"/>
              <w:rPr>
                <w:rFonts w:hint="eastAsia" w:ascii="宋体" w:hAnsi="宋体" w:eastAsia="宋体" w:cs="宋体"/>
                <w:color w:val="auto"/>
                <w:kern w:val="2"/>
                <w:sz w:val="24"/>
                <w:szCs w:val="24"/>
                <w:shd w:val="clear" w:color="auto" w:fill="auto"/>
                <w:lang w:val="en-US" w:eastAsia="zh-CN" w:bidi="ar-SA"/>
              </w:rPr>
            </w:pPr>
          </w:p>
        </w:tc>
        <w:tc>
          <w:tcPr>
            <w:tcW w:w="1491" w:type="dxa"/>
            <w:vAlign w:val="center"/>
          </w:tcPr>
          <w:p w14:paraId="3B9FDF63">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r>
      <w:tr w14:paraId="30D8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7D38C3A">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2</w:t>
            </w:r>
          </w:p>
        </w:tc>
        <w:tc>
          <w:tcPr>
            <w:tcW w:w="1835" w:type="dxa"/>
            <w:vAlign w:val="center"/>
          </w:tcPr>
          <w:p w14:paraId="19B75BAC">
            <w:pPr>
              <w:widowControl/>
              <w:spacing w:line="400" w:lineRule="exact"/>
              <w:jc w:val="center"/>
              <w:textAlignment w:val="center"/>
              <w:rPr>
                <w:rFonts w:hint="eastAsia" w:ascii="宋体" w:hAnsi="宋体" w:eastAsia="宋体" w:cs="宋体"/>
                <w:color w:val="auto"/>
                <w:sz w:val="24"/>
                <w:shd w:val="clear" w:color="auto" w:fill="auto"/>
              </w:rPr>
            </w:pPr>
            <w:r>
              <w:rPr>
                <w:rFonts w:hint="eastAsia" w:ascii="宋体" w:hAnsi="宋体" w:eastAsia="宋体" w:cs="宋体"/>
                <w:color w:val="auto"/>
                <w:kern w:val="0"/>
                <w:sz w:val="24"/>
                <w:shd w:val="clear" w:color="auto" w:fill="auto"/>
                <w:lang w:bidi="ar"/>
              </w:rPr>
              <w:t>餐桌</w:t>
            </w:r>
          </w:p>
        </w:tc>
        <w:tc>
          <w:tcPr>
            <w:tcW w:w="1162" w:type="dxa"/>
            <w:vAlign w:val="center"/>
          </w:tcPr>
          <w:p w14:paraId="2A449DB8">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3694" w:type="dxa"/>
            <w:vAlign w:val="center"/>
          </w:tcPr>
          <w:p w14:paraId="25635338">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1491" w:type="dxa"/>
            <w:vAlign w:val="center"/>
          </w:tcPr>
          <w:p w14:paraId="6E7C47BC">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r>
      <w:tr w14:paraId="7933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2C22D3">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3</w:t>
            </w:r>
          </w:p>
        </w:tc>
        <w:tc>
          <w:tcPr>
            <w:tcW w:w="1835" w:type="dxa"/>
            <w:shd w:val="clear" w:color="auto" w:fill="auto"/>
            <w:vAlign w:val="center"/>
          </w:tcPr>
          <w:p w14:paraId="3740ADB4">
            <w:pPr>
              <w:widowControl/>
              <w:spacing w:line="400" w:lineRule="exact"/>
              <w:jc w:val="center"/>
              <w:textAlignment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0"/>
                <w:sz w:val="24"/>
                <w:shd w:val="clear" w:color="auto" w:fill="auto"/>
                <w:lang w:bidi="ar"/>
              </w:rPr>
              <w:t>餐椅</w:t>
            </w:r>
          </w:p>
        </w:tc>
        <w:tc>
          <w:tcPr>
            <w:tcW w:w="1162" w:type="dxa"/>
            <w:shd w:val="clear" w:color="auto" w:fill="auto"/>
            <w:vAlign w:val="center"/>
          </w:tcPr>
          <w:p w14:paraId="47549CF2">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3694" w:type="dxa"/>
            <w:vAlign w:val="center"/>
          </w:tcPr>
          <w:p w14:paraId="1415BF7E">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1491" w:type="dxa"/>
            <w:vAlign w:val="center"/>
          </w:tcPr>
          <w:p w14:paraId="215FF481">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r>
      <w:tr w14:paraId="4E89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2750897">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4</w:t>
            </w:r>
          </w:p>
        </w:tc>
        <w:tc>
          <w:tcPr>
            <w:tcW w:w="1835" w:type="dxa"/>
            <w:shd w:val="clear" w:color="auto" w:fill="auto"/>
            <w:vAlign w:val="center"/>
          </w:tcPr>
          <w:p w14:paraId="6ED76AC9">
            <w:pPr>
              <w:widowControl/>
              <w:spacing w:line="400" w:lineRule="exact"/>
              <w:jc w:val="center"/>
              <w:textAlignment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0"/>
                <w:sz w:val="24"/>
                <w:shd w:val="clear" w:color="auto" w:fill="auto"/>
                <w:lang w:bidi="ar"/>
              </w:rPr>
              <w:t>主卧床</w:t>
            </w:r>
          </w:p>
        </w:tc>
        <w:tc>
          <w:tcPr>
            <w:tcW w:w="1162" w:type="dxa"/>
            <w:shd w:val="clear" w:color="auto" w:fill="auto"/>
            <w:vAlign w:val="center"/>
          </w:tcPr>
          <w:p w14:paraId="59288A5E">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3694" w:type="dxa"/>
            <w:vAlign w:val="center"/>
          </w:tcPr>
          <w:p w14:paraId="035120FA">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1491" w:type="dxa"/>
            <w:vAlign w:val="center"/>
          </w:tcPr>
          <w:p w14:paraId="5A6ACEB7">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r>
      <w:tr w14:paraId="30F7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FF5FD18">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5</w:t>
            </w:r>
          </w:p>
        </w:tc>
        <w:tc>
          <w:tcPr>
            <w:tcW w:w="1835" w:type="dxa"/>
            <w:shd w:val="clear" w:color="auto" w:fill="auto"/>
            <w:vAlign w:val="center"/>
          </w:tcPr>
          <w:p w14:paraId="1AFB8359">
            <w:pPr>
              <w:widowControl/>
              <w:spacing w:line="400" w:lineRule="exact"/>
              <w:jc w:val="center"/>
              <w:textAlignment w:val="center"/>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color w:val="auto"/>
                <w:kern w:val="0"/>
                <w:sz w:val="24"/>
                <w:shd w:val="clear" w:color="auto" w:fill="auto"/>
                <w:lang w:bidi="ar"/>
              </w:rPr>
              <w:t>主卧</w:t>
            </w:r>
            <w:r>
              <w:rPr>
                <w:rFonts w:hint="eastAsia" w:ascii="宋体" w:hAnsi="宋体" w:eastAsia="宋体" w:cs="宋体"/>
                <w:color w:val="auto"/>
                <w:kern w:val="0"/>
                <w:sz w:val="24"/>
                <w:shd w:val="clear" w:color="auto" w:fill="auto"/>
                <w:lang w:val="en-US" w:eastAsia="zh-CN" w:bidi="ar"/>
              </w:rPr>
              <w:t>床头柜</w:t>
            </w:r>
          </w:p>
        </w:tc>
        <w:tc>
          <w:tcPr>
            <w:tcW w:w="1162" w:type="dxa"/>
            <w:shd w:val="clear" w:color="auto" w:fill="auto"/>
            <w:vAlign w:val="center"/>
          </w:tcPr>
          <w:p w14:paraId="3DEAAA19">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3694" w:type="dxa"/>
            <w:vAlign w:val="center"/>
          </w:tcPr>
          <w:p w14:paraId="6E8C66D5">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1491" w:type="dxa"/>
            <w:vAlign w:val="center"/>
          </w:tcPr>
          <w:p w14:paraId="1B51ECD9">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r>
      <w:tr w14:paraId="2DDD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2E01252">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6</w:t>
            </w:r>
          </w:p>
        </w:tc>
        <w:tc>
          <w:tcPr>
            <w:tcW w:w="1835" w:type="dxa"/>
            <w:shd w:val="clear" w:color="auto" w:fill="auto"/>
            <w:vAlign w:val="center"/>
          </w:tcPr>
          <w:p w14:paraId="592BAAEE">
            <w:pPr>
              <w:widowControl/>
              <w:spacing w:line="400" w:lineRule="exact"/>
              <w:jc w:val="center"/>
              <w:textAlignment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0"/>
                <w:sz w:val="24"/>
                <w:shd w:val="clear" w:color="auto" w:fill="auto"/>
                <w:lang w:bidi="ar"/>
              </w:rPr>
              <w:t>次卧床</w:t>
            </w:r>
          </w:p>
        </w:tc>
        <w:tc>
          <w:tcPr>
            <w:tcW w:w="1162" w:type="dxa"/>
            <w:shd w:val="clear" w:color="auto" w:fill="auto"/>
            <w:vAlign w:val="center"/>
          </w:tcPr>
          <w:p w14:paraId="7B494FD0">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3694" w:type="dxa"/>
            <w:vAlign w:val="center"/>
          </w:tcPr>
          <w:p w14:paraId="4687D938">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1491" w:type="dxa"/>
            <w:vAlign w:val="center"/>
          </w:tcPr>
          <w:p w14:paraId="64A52085">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r>
      <w:tr w14:paraId="1AEA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689AC3B">
            <w:pPr>
              <w:widowControl w:val="0"/>
              <w:spacing w:after="0" w:line="400" w:lineRule="exact"/>
              <w:jc w:val="center"/>
              <w:rPr>
                <w:rFonts w:hint="default"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7</w:t>
            </w:r>
          </w:p>
        </w:tc>
        <w:tc>
          <w:tcPr>
            <w:tcW w:w="1835" w:type="dxa"/>
            <w:shd w:val="clear" w:color="auto" w:fill="auto"/>
            <w:vAlign w:val="center"/>
          </w:tcPr>
          <w:p w14:paraId="7FAF208A">
            <w:pPr>
              <w:widowControl/>
              <w:spacing w:line="400" w:lineRule="exact"/>
              <w:jc w:val="center"/>
              <w:textAlignment w:val="center"/>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color w:val="auto"/>
                <w:kern w:val="0"/>
                <w:sz w:val="24"/>
                <w:shd w:val="clear" w:color="auto" w:fill="auto"/>
                <w:lang w:val="en-US" w:eastAsia="zh-CN" w:bidi="ar"/>
              </w:rPr>
              <w:t>次卧床头柜</w:t>
            </w:r>
          </w:p>
        </w:tc>
        <w:tc>
          <w:tcPr>
            <w:tcW w:w="1162" w:type="dxa"/>
            <w:shd w:val="clear" w:color="auto" w:fill="auto"/>
            <w:vAlign w:val="center"/>
          </w:tcPr>
          <w:p w14:paraId="16606A05">
            <w:pPr>
              <w:widowControl w:val="0"/>
              <w:spacing w:after="0" w:line="400" w:lineRule="exact"/>
              <w:jc w:val="center"/>
              <w:rPr>
                <w:rFonts w:hint="default" w:ascii="宋体" w:hAnsi="宋体" w:eastAsia="宋体" w:cs="宋体"/>
                <w:color w:val="auto"/>
                <w:kern w:val="2"/>
                <w:sz w:val="24"/>
                <w:szCs w:val="24"/>
                <w:shd w:val="clear" w:color="auto" w:fill="auto"/>
                <w:lang w:val="en-US" w:eastAsia="zh-CN" w:bidi="ar-SA"/>
              </w:rPr>
            </w:pPr>
          </w:p>
        </w:tc>
        <w:tc>
          <w:tcPr>
            <w:tcW w:w="3694" w:type="dxa"/>
            <w:vAlign w:val="center"/>
          </w:tcPr>
          <w:p w14:paraId="4B128CBA">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1491" w:type="dxa"/>
            <w:vAlign w:val="center"/>
          </w:tcPr>
          <w:p w14:paraId="18B671EF">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r>
      <w:tr w14:paraId="5BCC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2A0F051">
            <w:pPr>
              <w:widowControl w:val="0"/>
              <w:spacing w:after="0" w:line="400" w:lineRule="exact"/>
              <w:jc w:val="center"/>
              <w:rPr>
                <w:rFonts w:hint="default"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8</w:t>
            </w:r>
          </w:p>
        </w:tc>
        <w:tc>
          <w:tcPr>
            <w:tcW w:w="1835" w:type="dxa"/>
            <w:shd w:val="clear" w:color="auto" w:fill="auto"/>
            <w:vAlign w:val="center"/>
          </w:tcPr>
          <w:p w14:paraId="1330179D">
            <w:pPr>
              <w:widowControl/>
              <w:spacing w:line="400" w:lineRule="exact"/>
              <w:jc w:val="center"/>
              <w:textAlignment w:val="center"/>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color w:val="auto"/>
                <w:kern w:val="0"/>
                <w:sz w:val="24"/>
                <w:shd w:val="clear" w:color="auto" w:fill="auto"/>
                <w:lang w:val="en-US" w:eastAsia="zh-CN" w:bidi="ar"/>
              </w:rPr>
              <w:t>定制柜</w:t>
            </w:r>
          </w:p>
        </w:tc>
        <w:tc>
          <w:tcPr>
            <w:tcW w:w="1162" w:type="dxa"/>
            <w:shd w:val="clear" w:color="auto" w:fill="auto"/>
            <w:vAlign w:val="center"/>
          </w:tcPr>
          <w:p w14:paraId="3706A0C0">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3694" w:type="dxa"/>
            <w:vAlign w:val="center"/>
          </w:tcPr>
          <w:p w14:paraId="1451C0DE">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c>
          <w:tcPr>
            <w:tcW w:w="1491" w:type="dxa"/>
            <w:vAlign w:val="center"/>
          </w:tcPr>
          <w:p w14:paraId="1F60B355">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r>
      <w:tr w14:paraId="1429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395" w:type="dxa"/>
            <w:gridSpan w:val="4"/>
            <w:vAlign w:val="center"/>
          </w:tcPr>
          <w:p w14:paraId="4EFA44FF">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b/>
                <w:bCs/>
                <w:color w:val="auto"/>
                <w:kern w:val="2"/>
                <w:sz w:val="24"/>
                <w:szCs w:val="24"/>
                <w:shd w:val="clear" w:color="auto" w:fill="auto"/>
                <w:lang w:val="en-US" w:eastAsia="zh-CN" w:bidi="ar-SA"/>
              </w:rPr>
              <w:t>是否确认验收合格</w:t>
            </w:r>
          </w:p>
        </w:tc>
        <w:tc>
          <w:tcPr>
            <w:tcW w:w="1491" w:type="dxa"/>
            <w:vAlign w:val="center"/>
          </w:tcPr>
          <w:p w14:paraId="7235C73F">
            <w:pPr>
              <w:widowControl w:val="0"/>
              <w:spacing w:after="0" w:line="400" w:lineRule="exact"/>
              <w:jc w:val="center"/>
              <w:rPr>
                <w:rFonts w:hint="eastAsia" w:ascii="宋体" w:hAnsi="宋体" w:eastAsia="宋体" w:cs="宋体"/>
                <w:color w:val="auto"/>
                <w:kern w:val="2"/>
                <w:sz w:val="24"/>
                <w:szCs w:val="24"/>
                <w:shd w:val="clear" w:color="auto" w:fill="auto"/>
                <w:lang w:val="en-US" w:eastAsia="zh-CN" w:bidi="ar-SA"/>
              </w:rPr>
            </w:pPr>
          </w:p>
        </w:tc>
      </w:tr>
      <w:tr w14:paraId="3551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86" w:type="dxa"/>
            <w:gridSpan w:val="5"/>
            <w:vAlign w:val="center"/>
          </w:tcPr>
          <w:p w14:paraId="1D4D30B2">
            <w:pPr>
              <w:widowControl w:val="0"/>
              <w:spacing w:after="0" w:line="400" w:lineRule="exact"/>
              <w:jc w:val="left"/>
              <w:rPr>
                <w:rFonts w:hint="default" w:ascii="宋体" w:hAnsi="宋体" w:eastAsia="宋体" w:cs="宋体"/>
                <w:color w:val="auto"/>
                <w:kern w:val="2"/>
                <w:sz w:val="24"/>
                <w:szCs w:val="24"/>
                <w:shd w:val="clear" w:color="auto" w:fill="auto"/>
                <w:lang w:val="en-US" w:eastAsia="zh-CN" w:bidi="ar-SA"/>
              </w:rPr>
            </w:pPr>
            <w:r>
              <w:rPr>
                <w:rFonts w:hint="eastAsia" w:ascii="Segoe UI" w:hAnsi="Segoe UI" w:eastAsia="宋体" w:cs="Segoe UI"/>
                <w:color w:val="auto"/>
                <w:kern w:val="2"/>
                <w:sz w:val="24"/>
                <w:szCs w:val="24"/>
                <w:shd w:val="clear" w:color="auto" w:fill="auto"/>
                <w:lang w:val="en-US" w:eastAsia="zh-CN" w:bidi="ar-SA"/>
              </w:rPr>
              <w:t>备注：</w:t>
            </w:r>
            <w:r>
              <w:rPr>
                <w:rFonts w:ascii="Segoe UI" w:hAnsi="Segoe UI" w:eastAsia="Segoe UI" w:cs="Segoe UI"/>
                <w:color w:val="auto"/>
                <w:kern w:val="2"/>
                <w:sz w:val="24"/>
                <w:szCs w:val="24"/>
                <w:shd w:val="clear" w:color="auto" w:fill="auto"/>
                <w:lang w:val="en-US" w:eastAsia="zh-CN" w:bidi="ar-SA"/>
              </w:rPr>
              <w:t>验收标准以</w:t>
            </w:r>
            <w:r>
              <w:rPr>
                <w:rFonts w:hint="eastAsia" w:ascii="Segoe UI" w:hAnsi="Segoe UI" w:eastAsia="Segoe UI" w:cs="Segoe UI"/>
                <w:color w:val="auto"/>
                <w:kern w:val="2"/>
                <w:sz w:val="24"/>
                <w:szCs w:val="24"/>
                <w:shd w:val="clear" w:color="auto" w:fill="auto"/>
                <w:lang w:val="en-US" w:eastAsia="zh-CN" w:bidi="ar-SA"/>
              </w:rPr>
              <w:t>合同清单为准</w:t>
            </w:r>
          </w:p>
        </w:tc>
      </w:tr>
    </w:tbl>
    <w:p w14:paraId="326FE9CA">
      <w:pPr>
        <w:pStyle w:val="2"/>
        <w:rPr>
          <w:rFonts w:hint="eastAsia"/>
          <w:color w:val="auto"/>
          <w:shd w:val="clear" w:color="auto" w:fill="auto"/>
        </w:rPr>
      </w:pPr>
    </w:p>
    <w:p w14:paraId="6B64D5A0">
      <w:pPr>
        <w:spacing w:line="400" w:lineRule="exact"/>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注：各方在此郑重确认并知悉，本次活动所涉及的全部家私，均由乙方（负责提供给各位业主。当业主签收本验收单之时，即视为业主已全面检查并确认家私质量完好无损，同时认同所接收的家私完全符合本次活动预先设定的交付标准。</w:t>
      </w:r>
    </w:p>
    <w:p w14:paraId="7F1C0687">
      <w:pPr>
        <w:spacing w:line="400" w:lineRule="exact"/>
        <w:ind w:firstLine="48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在家私后续的正常使用过程中，倘若因家私本身质量瑕疵、自然损坏、人为不当使用造成损坏或其他任何相关问题，进而引发任何形式的纠纷、争议或索赔诉求，业主应径直与责任承担方乙方进行友好协商，以便妥善解决。在此特别声明，甲方作为本次房产交易及附赠家私活动的非家私提供主体，对于家私相关的一切问题，包括但不限于质量缺陷、维修维护、退换货纠纷、赔偿责任等，均不承担任何法律责任与经济赔偿责任。</w:t>
      </w:r>
    </w:p>
    <w:p w14:paraId="6F1AFEC1">
      <w:pPr>
        <w:widowControl w:val="0"/>
        <w:spacing w:after="120"/>
        <w:ind w:left="420" w:leftChars="200" w:firstLine="480" w:firstLineChars="200"/>
        <w:jc w:val="both"/>
        <w:rPr>
          <w:rFonts w:hint="eastAsia" w:ascii="宋体" w:hAnsi="宋体" w:eastAsia="宋体" w:cs="宋体"/>
          <w:color w:val="auto"/>
          <w:kern w:val="2"/>
          <w:sz w:val="24"/>
          <w:szCs w:val="22"/>
          <w:shd w:val="clear" w:color="auto" w:fill="auto"/>
          <w:lang w:val="en-US" w:eastAsia="zh-CN" w:bidi="ar-SA"/>
        </w:rPr>
      </w:pPr>
    </w:p>
    <w:p w14:paraId="34DBC5CF">
      <w:pPr>
        <w:spacing w:line="400" w:lineRule="exact"/>
        <w:rPr>
          <w:rFonts w:ascii="Times New Roman" w:hAnsi="Times New Roman" w:eastAsia="宋体" w:cs="Times New Roman"/>
          <w:color w:val="auto"/>
          <w:shd w:val="clear" w:color="auto" w:fill="auto"/>
        </w:rPr>
      </w:pPr>
      <w:r>
        <w:rPr>
          <w:rFonts w:hint="eastAsia" w:ascii="宋体" w:hAnsi="宋体" w:eastAsia="宋体" w:cs="宋体"/>
          <w:color w:val="auto"/>
          <w:sz w:val="24"/>
          <w:shd w:val="clear" w:color="auto" w:fill="auto"/>
        </w:rPr>
        <w:t xml:space="preserve">乙方签字：             </w:t>
      </w:r>
      <w:r>
        <w:rPr>
          <w:rFonts w:hint="eastAsia" w:ascii="宋体" w:hAnsi="宋体" w:eastAsia="宋体" w:cs="宋体"/>
          <w:color w:val="auto"/>
          <w:sz w:val="24"/>
          <w:shd w:val="clear" w:color="auto" w:fill="auto"/>
          <w:lang w:val="en-US" w:eastAsia="zh-CN"/>
        </w:rPr>
        <w:t xml:space="preserve"> </w:t>
      </w:r>
      <w:r>
        <w:rPr>
          <w:rFonts w:hint="eastAsia" w:ascii="宋体" w:hAnsi="宋体" w:eastAsia="宋体" w:cs="宋体"/>
          <w:color w:val="auto"/>
          <w:sz w:val="24"/>
          <w:shd w:val="clear" w:color="auto" w:fill="auto"/>
        </w:rPr>
        <w:t xml:space="preserve"> 甲方签字：             </w:t>
      </w:r>
      <w:r>
        <w:rPr>
          <w:rFonts w:hint="eastAsia" w:ascii="宋体" w:hAnsi="宋体" w:eastAsia="宋体" w:cs="宋体"/>
          <w:color w:val="auto"/>
          <w:sz w:val="24"/>
          <w:shd w:val="clear" w:color="auto" w:fill="auto"/>
          <w:lang w:val="en-US" w:eastAsia="zh-CN"/>
        </w:rPr>
        <w:t xml:space="preserve"> </w:t>
      </w:r>
      <w:r>
        <w:rPr>
          <w:rFonts w:hint="eastAsia" w:ascii="宋体" w:hAnsi="宋体" w:eastAsia="宋体" w:cs="宋体"/>
          <w:color w:val="auto"/>
          <w:sz w:val="24"/>
          <w:shd w:val="clear" w:color="auto" w:fill="auto"/>
        </w:rPr>
        <w:t xml:space="preserve"> 业主签字：</w:t>
      </w:r>
    </w:p>
    <w:p w14:paraId="30D53AD7">
      <w:pPr>
        <w:tabs>
          <w:tab w:val="left" w:pos="795"/>
        </w:tabs>
        <w:spacing w:line="240" w:lineRule="exact"/>
        <w:ind w:firstLine="420"/>
        <w:jc w:val="right"/>
        <w:rPr>
          <w:rFonts w:hint="eastAsia" w:ascii="Calibri" w:hAnsi="Calibri" w:eastAsia="宋体" w:cs="Times New Roman"/>
          <w:color w:val="auto"/>
          <w:shd w:val="clear" w:color="auto" w:fill="auto"/>
        </w:rPr>
      </w:pPr>
      <w:r>
        <w:rPr>
          <w:rFonts w:hint="eastAsia" w:ascii="Calibri" w:hAnsi="Calibri" w:eastAsia="宋体" w:cs="Times New Roman"/>
          <w:color w:val="auto"/>
          <w:shd w:val="clear" w:color="auto" w:fill="auto"/>
        </w:rPr>
        <w:tab/>
      </w:r>
    </w:p>
    <w:p w14:paraId="6205AD4A">
      <w:pPr>
        <w:tabs>
          <w:tab w:val="left" w:pos="795"/>
        </w:tabs>
        <w:spacing w:line="240" w:lineRule="exact"/>
        <w:ind w:firstLine="420"/>
        <w:jc w:val="both"/>
        <w:rPr>
          <w:rFonts w:hint="eastAsia" w:ascii="Calibri" w:hAnsi="Calibri" w:eastAsia="宋体" w:cs="Times New Roman"/>
          <w:color w:val="auto"/>
          <w:shd w:val="clear" w:color="auto" w:fill="auto"/>
        </w:rPr>
      </w:pPr>
    </w:p>
    <w:p w14:paraId="3CC0CA4A">
      <w:pPr>
        <w:tabs>
          <w:tab w:val="left" w:pos="795"/>
        </w:tabs>
        <w:spacing w:line="240" w:lineRule="exact"/>
        <w:ind w:firstLine="420"/>
        <w:jc w:val="right"/>
        <w:rPr>
          <w:rFonts w:hint="eastAsia" w:ascii="Calibri" w:hAnsi="Calibri" w:eastAsia="宋体" w:cs="Times New Roman"/>
          <w:color w:val="auto"/>
          <w:sz w:val="24"/>
          <w:shd w:val="clear" w:color="auto" w:fill="auto"/>
        </w:rPr>
      </w:pPr>
      <w:r>
        <w:rPr>
          <w:rFonts w:hint="eastAsia" w:ascii="Calibri" w:hAnsi="Calibri" w:eastAsia="宋体" w:cs="Times New Roman"/>
          <w:color w:val="auto"/>
          <w:sz w:val="24"/>
          <w:shd w:val="clear" w:color="auto" w:fill="auto"/>
        </w:rPr>
        <w:t>验收日期：    年  月  日</w:t>
      </w:r>
    </w:p>
    <w:p w14:paraId="5A8DE15B">
      <w:pPr>
        <w:pStyle w:val="2"/>
        <w:rPr>
          <w:rFonts w:hint="eastAsia"/>
          <w:color w:val="auto"/>
          <w:lang w:val="en-US" w:eastAsia="zh-CN"/>
        </w:rPr>
      </w:pPr>
    </w:p>
    <w:p w14:paraId="6CDC25C2">
      <w:pPr>
        <w:pStyle w:val="3"/>
        <w:numPr>
          <w:ilvl w:val="0"/>
          <w:numId w:val="0"/>
        </w:numPr>
        <w:spacing w:before="312" w:after="312"/>
        <w:ind w:left="402" w:leftChars="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 xml:space="preserve"> </w:t>
      </w:r>
      <w:bookmarkStart w:id="205" w:name="_Toc5750"/>
      <w:r>
        <w:rPr>
          <w:rFonts w:hint="eastAsia" w:ascii="Times New Roman" w:hAnsi="Times New Roman" w:eastAsia="宋体" w:cs="Times New Roman"/>
          <w:b/>
          <w:bCs/>
          <w:color w:val="auto"/>
          <w:highlight w:val="none"/>
          <w:lang w:val="en-US" w:eastAsia="zh-CN"/>
        </w:rPr>
        <w:t>第五章  采购需求及清单</w:t>
      </w:r>
      <w:bookmarkEnd w:id="204"/>
      <w:bookmarkEnd w:id="205"/>
    </w:p>
    <w:p w14:paraId="3DEEC420">
      <w:pPr>
        <w:widowControl/>
        <w:tabs>
          <w:tab w:val="left" w:pos="360"/>
        </w:tabs>
        <w:spacing w:line="440" w:lineRule="exact"/>
        <w:ind w:firstLine="562" w:firstLineChars="200"/>
        <w:jc w:val="left"/>
        <w:rPr>
          <w:rFonts w:ascii="Times New Roman" w:hAnsi="Times New Roman" w:eastAsia="宋体" w:cs="Times New Roman"/>
          <w:b/>
          <w:bCs/>
          <w:color w:val="auto"/>
          <w:sz w:val="28"/>
          <w:szCs w:val="28"/>
          <w:shd w:val="clear" w:color="FFFFFF" w:fill="D9D9D9"/>
        </w:rPr>
      </w:pPr>
      <w:r>
        <w:rPr>
          <w:rFonts w:hint="eastAsia" w:ascii="Times New Roman" w:hAnsi="Times New Roman" w:eastAsia="宋体" w:cs="Times New Roman"/>
          <w:b/>
          <w:bCs/>
          <w:color w:val="auto"/>
          <w:sz w:val="28"/>
          <w:szCs w:val="28"/>
          <w:shd w:val="clear" w:color="FFFFFF" w:fill="D9D9D9"/>
          <w:lang w:val="en-US" w:eastAsia="zh-CN"/>
        </w:rPr>
        <w:t>一</w:t>
      </w:r>
      <w:r>
        <w:rPr>
          <w:rFonts w:hint="eastAsia" w:ascii="Times New Roman" w:hAnsi="Times New Roman" w:eastAsia="宋体" w:cs="Times New Roman"/>
          <w:b/>
          <w:bCs/>
          <w:color w:val="auto"/>
          <w:sz w:val="28"/>
          <w:szCs w:val="28"/>
          <w:shd w:val="clear" w:color="FFFFFF" w:fill="D9D9D9"/>
        </w:rPr>
        <w:t>、</w:t>
      </w:r>
      <w:r>
        <w:rPr>
          <w:rFonts w:hint="eastAsia" w:ascii="Times New Roman" w:hAnsi="Times New Roman" w:eastAsia="宋体" w:cs="Times New Roman"/>
          <w:b/>
          <w:bCs/>
          <w:color w:val="auto"/>
          <w:sz w:val="28"/>
          <w:szCs w:val="28"/>
          <w:shd w:val="clear" w:color="FFFFFF" w:fill="D9D9D9"/>
          <w:lang w:val="en-US" w:eastAsia="zh-CN"/>
        </w:rPr>
        <w:t>深圳</w:t>
      </w:r>
      <w:r>
        <w:rPr>
          <w:rFonts w:hint="eastAsia" w:ascii="Times New Roman" w:hAnsi="Times New Roman" w:eastAsia="宋体" w:cs="Times New Roman"/>
          <w:b/>
          <w:bCs/>
          <w:color w:val="auto"/>
          <w:sz w:val="28"/>
          <w:szCs w:val="28"/>
          <w:shd w:val="clear" w:color="FFFFFF" w:fill="D9D9D9"/>
        </w:rPr>
        <w:t>安联尚璟府户型图</w:t>
      </w:r>
    </w:p>
    <w:p w14:paraId="0BE6DDF7">
      <w:pPr>
        <w:widowControl w:val="0"/>
        <w:spacing w:after="120"/>
        <w:ind w:left="420" w:leftChars="200" w:firstLine="420" w:firstLineChars="200"/>
        <w:jc w:val="both"/>
        <w:rPr>
          <w:rFonts w:ascii="Calibri" w:hAnsi="Calibri" w:eastAsia="宋体" w:cs="Times New Roman"/>
          <w:color w:val="auto"/>
          <w:kern w:val="2"/>
          <w:sz w:val="21"/>
          <w:szCs w:val="22"/>
          <w:lang w:val="en-US" w:eastAsia="zh-CN" w:bidi="ar-SA"/>
        </w:rPr>
      </w:pPr>
      <w:r>
        <w:rPr>
          <w:rFonts w:ascii="Calibri" w:hAnsi="Calibri" w:eastAsia="宋体" w:cs="Times New Roman"/>
          <w:color w:val="auto"/>
          <w:kern w:val="2"/>
          <w:sz w:val="21"/>
          <w:szCs w:val="22"/>
          <w:lang w:val="en-US" w:eastAsia="zh-CN" w:bidi="ar-SA"/>
        </w:rPr>
        <w:drawing>
          <wp:inline distT="0" distB="0" distL="114300" distR="114300">
            <wp:extent cx="3254375" cy="3486785"/>
            <wp:effectExtent l="0" t="0" r="0" b="0"/>
            <wp:docPr id="5" name="图片 5" descr="ebc603de-416a-42c1-b6e8-152e02edf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bc603de-416a-42c1-b6e8-152e02edfe51"/>
                    <pic:cNvPicPr>
                      <a:picLocks noChangeAspect="1"/>
                    </pic:cNvPicPr>
                  </pic:nvPicPr>
                  <pic:blipFill>
                    <a:blip r:embed="rId12"/>
                    <a:srcRect l="7715" r="9047" b="21591"/>
                    <a:stretch>
                      <a:fillRect/>
                    </a:stretch>
                  </pic:blipFill>
                  <pic:spPr>
                    <a:xfrm>
                      <a:off x="0" y="0"/>
                      <a:ext cx="3254375" cy="3486785"/>
                    </a:xfrm>
                    <a:prstGeom prst="rect">
                      <a:avLst/>
                    </a:prstGeom>
                  </pic:spPr>
                </pic:pic>
              </a:graphicData>
            </a:graphic>
          </wp:inline>
        </w:drawing>
      </w:r>
    </w:p>
    <w:p w14:paraId="32DDF425">
      <w:pPr>
        <w:widowControl w:val="0"/>
        <w:spacing w:after="120"/>
        <w:ind w:left="420" w:leftChars="200" w:firstLine="420" w:firstLineChars="200"/>
        <w:jc w:val="both"/>
        <w:rPr>
          <w:rFonts w:ascii="Calibri" w:hAnsi="Calibri" w:eastAsia="宋体" w:cs="Times New Roman"/>
          <w:color w:val="auto"/>
          <w:kern w:val="2"/>
          <w:sz w:val="21"/>
          <w:szCs w:val="22"/>
          <w:lang w:val="en-US" w:eastAsia="zh-CN" w:bidi="ar-SA"/>
        </w:rPr>
      </w:pPr>
      <w:r>
        <w:rPr>
          <w:rFonts w:ascii="Calibri" w:hAnsi="Calibri" w:eastAsia="宋体" w:cs="Times New Roman"/>
          <w:color w:val="auto"/>
          <w:kern w:val="2"/>
          <w:sz w:val="21"/>
          <w:szCs w:val="22"/>
          <w:lang w:val="en-US" w:eastAsia="zh-CN" w:bidi="ar-SA"/>
        </w:rPr>
        <w:drawing>
          <wp:inline distT="0" distB="0" distL="114300" distR="114300">
            <wp:extent cx="3284220" cy="3648710"/>
            <wp:effectExtent l="0" t="0" r="11430" b="8890"/>
            <wp:docPr id="6" name="图片 6" descr="e4e7d4cb-9579-471f-b0c6-8e4afc6ee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4e7d4cb-9579-471f-b0c6-8e4afc6ee454"/>
                    <pic:cNvPicPr>
                      <a:picLocks noChangeAspect="1"/>
                    </pic:cNvPicPr>
                  </pic:nvPicPr>
                  <pic:blipFill>
                    <a:blip r:embed="rId13"/>
                    <a:stretch>
                      <a:fillRect/>
                    </a:stretch>
                  </pic:blipFill>
                  <pic:spPr>
                    <a:xfrm>
                      <a:off x="0" y="0"/>
                      <a:ext cx="3284220" cy="3648710"/>
                    </a:xfrm>
                    <a:prstGeom prst="rect">
                      <a:avLst/>
                    </a:prstGeom>
                  </pic:spPr>
                </pic:pic>
              </a:graphicData>
            </a:graphic>
          </wp:inline>
        </w:drawing>
      </w:r>
    </w:p>
    <w:p w14:paraId="07EBF7C0">
      <w:pPr>
        <w:widowControl w:val="0"/>
        <w:spacing w:after="120"/>
        <w:ind w:left="420" w:leftChars="200" w:firstLine="420" w:firstLineChars="200"/>
        <w:jc w:val="both"/>
        <w:rPr>
          <w:rFonts w:ascii="Calibri" w:hAnsi="Calibri" w:eastAsia="宋体" w:cs="Times New Roman"/>
          <w:color w:val="auto"/>
          <w:kern w:val="2"/>
          <w:sz w:val="21"/>
          <w:szCs w:val="22"/>
          <w:lang w:val="en-US" w:eastAsia="zh-CN" w:bidi="ar-SA"/>
        </w:rPr>
      </w:pPr>
    </w:p>
    <w:p w14:paraId="294BC892">
      <w:pPr>
        <w:widowControl/>
        <w:tabs>
          <w:tab w:val="left" w:pos="360"/>
        </w:tabs>
        <w:spacing w:line="440" w:lineRule="exact"/>
        <w:jc w:val="left"/>
        <w:rPr>
          <w:rFonts w:hint="eastAsia" w:ascii="Times New Roman" w:hAnsi="Times New Roman" w:eastAsia="宋体" w:cs="Times New Roman"/>
          <w:b/>
          <w:bCs/>
          <w:color w:val="auto"/>
          <w:sz w:val="28"/>
          <w:szCs w:val="28"/>
          <w:shd w:val="clear" w:color="FFFFFF" w:fill="D9D9D9"/>
          <w:lang w:eastAsia="zh-CN"/>
        </w:rPr>
      </w:pPr>
      <w:r>
        <w:rPr>
          <w:rFonts w:hint="eastAsia" w:ascii="Times New Roman" w:hAnsi="Times New Roman" w:eastAsia="宋体" w:cs="Times New Roman"/>
          <w:b/>
          <w:bCs/>
          <w:color w:val="auto"/>
          <w:sz w:val="28"/>
          <w:szCs w:val="28"/>
          <w:shd w:val="clear" w:color="FFFFFF" w:fill="D9D9D9"/>
          <w:lang w:val="en-US" w:eastAsia="zh-CN"/>
        </w:rPr>
        <w:t>二</w:t>
      </w:r>
      <w:r>
        <w:rPr>
          <w:rFonts w:ascii="Times New Roman" w:hAnsi="Times New Roman" w:eastAsia="宋体" w:cs="Times New Roman"/>
          <w:b/>
          <w:bCs/>
          <w:color w:val="auto"/>
          <w:sz w:val="28"/>
          <w:szCs w:val="28"/>
          <w:shd w:val="clear" w:color="FFFFFF" w:fill="D9D9D9"/>
        </w:rPr>
        <w:t>、</w:t>
      </w:r>
      <w:r>
        <w:rPr>
          <w:rFonts w:hint="eastAsia" w:ascii="Times New Roman" w:hAnsi="Times New Roman" w:eastAsia="宋体" w:cs="Times New Roman"/>
          <w:b/>
          <w:bCs/>
          <w:color w:val="auto"/>
          <w:sz w:val="28"/>
          <w:szCs w:val="28"/>
          <w:shd w:val="clear" w:color="FFFFFF" w:fill="D9D9D9"/>
          <w:lang w:val="en-US" w:eastAsia="zh-CN"/>
        </w:rPr>
        <w:t>深圳</w:t>
      </w:r>
      <w:r>
        <w:rPr>
          <w:rFonts w:hint="eastAsia" w:ascii="Times New Roman" w:hAnsi="Times New Roman" w:eastAsia="宋体" w:cs="Times New Roman"/>
          <w:b/>
          <w:bCs/>
          <w:color w:val="auto"/>
          <w:sz w:val="28"/>
          <w:szCs w:val="28"/>
          <w:shd w:val="clear" w:color="FFFFFF" w:fill="D9D9D9"/>
        </w:rPr>
        <w:t>安联尚璟府户内精装修实拍图</w:t>
      </w:r>
    </w:p>
    <w:tbl>
      <w:tblPr>
        <w:tblStyle w:val="22"/>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14:paraId="0BD7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trPr>
        <w:tc>
          <w:tcPr>
            <w:tcW w:w="8640" w:type="dxa"/>
          </w:tcPr>
          <w:p w14:paraId="45472A02">
            <w:pPr>
              <w:widowControl/>
              <w:tabs>
                <w:tab w:val="left" w:pos="360"/>
              </w:tabs>
              <w:spacing w:line="440" w:lineRule="exact"/>
              <w:jc w:val="left"/>
              <w:rPr>
                <w:rFonts w:hint="eastAsia" w:ascii="Times New Roman" w:hAnsi="Times New Roman" w:eastAsia="宋体" w:cs="Times New Roman"/>
                <w:b/>
                <w:bCs/>
                <w:color w:val="auto"/>
                <w:sz w:val="28"/>
                <w:szCs w:val="28"/>
                <w:shd w:val="clear" w:color="FFFFFF" w:fill="D9D9D9"/>
                <w:vertAlign w:val="baseline"/>
                <w:lang w:val="en-US" w:eastAsia="zh-CN"/>
              </w:rPr>
            </w:pPr>
            <w:r>
              <w:rPr>
                <w:rFonts w:hint="eastAsia" w:ascii="Times New Roman" w:hAnsi="Times New Roman" w:eastAsia="宋体" w:cs="Times New Roman"/>
                <w:b/>
                <w:bCs/>
                <w:color w:val="auto"/>
                <w:sz w:val="28"/>
                <w:szCs w:val="28"/>
                <w:shd w:val="clear" w:color="FFFFFF" w:fill="D9D9D9"/>
                <w:vertAlign w:val="baseline"/>
                <w:lang w:val="en-US" w:eastAsia="zh-CN"/>
              </w:rPr>
              <w:drawing>
                <wp:anchor distT="0" distB="0" distL="114300" distR="114300" simplePos="0" relativeHeight="251666432" behindDoc="1" locked="0" layoutInCell="1" allowOverlap="1">
                  <wp:simplePos x="0" y="0"/>
                  <wp:positionH relativeFrom="column">
                    <wp:posOffset>3673475</wp:posOffset>
                  </wp:positionH>
                  <wp:positionV relativeFrom="paragraph">
                    <wp:posOffset>4761230</wp:posOffset>
                  </wp:positionV>
                  <wp:extent cx="1637665" cy="2184400"/>
                  <wp:effectExtent l="0" t="0" r="635" b="6350"/>
                  <wp:wrapTight wrapText="bothSides">
                    <wp:wrapPolygon>
                      <wp:start x="0" y="0"/>
                      <wp:lineTo x="0" y="21474"/>
                      <wp:lineTo x="21357" y="21474"/>
                      <wp:lineTo x="21357" y="0"/>
                      <wp:lineTo x="0" y="0"/>
                    </wp:wrapPolygon>
                  </wp:wrapTight>
                  <wp:docPr id="20" name="图片 20" descr="8610d28381ca9600eb7604cce1206c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610d28381ca9600eb7604cce1206cc2"/>
                          <pic:cNvPicPr>
                            <a:picLocks noChangeAspect="1"/>
                          </pic:cNvPicPr>
                        </pic:nvPicPr>
                        <pic:blipFill>
                          <a:blip r:embed="rId14"/>
                          <a:stretch>
                            <a:fillRect/>
                          </a:stretch>
                        </pic:blipFill>
                        <pic:spPr>
                          <a:xfrm>
                            <a:off x="0" y="0"/>
                            <a:ext cx="1637665" cy="2184400"/>
                          </a:xfrm>
                          <a:prstGeom prst="rect">
                            <a:avLst/>
                          </a:prstGeom>
                        </pic:spPr>
                      </pic:pic>
                    </a:graphicData>
                  </a:graphic>
                </wp:anchor>
              </w:drawing>
            </w:r>
            <w:r>
              <w:rPr>
                <w:rFonts w:hint="eastAsia" w:ascii="Times New Roman" w:hAnsi="Times New Roman" w:eastAsia="宋体" w:cs="Times New Roman"/>
                <w:b/>
                <w:bCs/>
                <w:color w:val="auto"/>
                <w:sz w:val="28"/>
                <w:szCs w:val="28"/>
                <w:shd w:val="clear" w:color="FFFFFF" w:fill="D9D9D9"/>
                <w:vertAlign w:val="baseline"/>
                <w:lang w:val="en-US" w:eastAsia="zh-CN"/>
              </w:rPr>
              <w:drawing>
                <wp:anchor distT="0" distB="0" distL="114300" distR="114300" simplePos="0" relativeHeight="251665408" behindDoc="1" locked="0" layoutInCell="1" allowOverlap="1">
                  <wp:simplePos x="0" y="0"/>
                  <wp:positionH relativeFrom="column">
                    <wp:posOffset>1802765</wp:posOffset>
                  </wp:positionH>
                  <wp:positionV relativeFrom="paragraph">
                    <wp:posOffset>4782820</wp:posOffset>
                  </wp:positionV>
                  <wp:extent cx="1645285" cy="2193925"/>
                  <wp:effectExtent l="0" t="0" r="12065" b="15875"/>
                  <wp:wrapTight wrapText="bothSides">
                    <wp:wrapPolygon>
                      <wp:start x="0" y="0"/>
                      <wp:lineTo x="0" y="21381"/>
                      <wp:lineTo x="21258" y="21381"/>
                      <wp:lineTo x="21258" y="0"/>
                      <wp:lineTo x="0" y="0"/>
                    </wp:wrapPolygon>
                  </wp:wrapTight>
                  <wp:docPr id="19" name="图片 19" descr="bf325d47900633af72829c599f0c9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bf325d47900633af72829c599f0c9abb"/>
                          <pic:cNvPicPr>
                            <a:picLocks noChangeAspect="1"/>
                          </pic:cNvPicPr>
                        </pic:nvPicPr>
                        <pic:blipFill>
                          <a:blip r:embed="rId15"/>
                          <a:stretch>
                            <a:fillRect/>
                          </a:stretch>
                        </pic:blipFill>
                        <pic:spPr>
                          <a:xfrm>
                            <a:off x="0" y="0"/>
                            <a:ext cx="1645285" cy="2193925"/>
                          </a:xfrm>
                          <a:prstGeom prst="rect">
                            <a:avLst/>
                          </a:prstGeom>
                        </pic:spPr>
                      </pic:pic>
                    </a:graphicData>
                  </a:graphic>
                </wp:anchor>
              </w:drawing>
            </w:r>
            <w:r>
              <w:rPr>
                <w:rFonts w:hint="eastAsia" w:ascii="Times New Roman" w:hAnsi="Times New Roman" w:eastAsia="宋体" w:cs="Times New Roman"/>
                <w:b/>
                <w:bCs/>
                <w:color w:val="auto"/>
                <w:sz w:val="28"/>
                <w:szCs w:val="28"/>
                <w:shd w:val="clear" w:color="FFFFFF" w:fill="D9D9D9"/>
                <w:vertAlign w:val="baseline"/>
                <w:lang w:val="en-US" w:eastAsia="zh-CN"/>
              </w:rPr>
              <w:drawing>
                <wp:anchor distT="0" distB="0" distL="114300" distR="114300" simplePos="0" relativeHeight="251664384" behindDoc="1" locked="0" layoutInCell="1" allowOverlap="1">
                  <wp:simplePos x="0" y="0"/>
                  <wp:positionH relativeFrom="column">
                    <wp:posOffset>-6350</wp:posOffset>
                  </wp:positionH>
                  <wp:positionV relativeFrom="paragraph">
                    <wp:posOffset>4786630</wp:posOffset>
                  </wp:positionV>
                  <wp:extent cx="1638300" cy="2185035"/>
                  <wp:effectExtent l="0" t="0" r="0" b="0"/>
                  <wp:wrapTight wrapText="bothSides">
                    <wp:wrapPolygon>
                      <wp:start x="0" y="0"/>
                      <wp:lineTo x="0" y="21468"/>
                      <wp:lineTo x="21349" y="21468"/>
                      <wp:lineTo x="21349" y="0"/>
                      <wp:lineTo x="0" y="0"/>
                    </wp:wrapPolygon>
                  </wp:wrapTight>
                  <wp:docPr id="18" name="图片 18" descr="b9ec4ea9ae535160ac352c0d708c7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b9ec4ea9ae535160ac352c0d708c7579"/>
                          <pic:cNvPicPr>
                            <a:picLocks noChangeAspect="1"/>
                          </pic:cNvPicPr>
                        </pic:nvPicPr>
                        <pic:blipFill>
                          <a:blip r:embed="rId16"/>
                          <a:srcRect l="-226" r="226"/>
                          <a:stretch>
                            <a:fillRect/>
                          </a:stretch>
                        </pic:blipFill>
                        <pic:spPr>
                          <a:xfrm>
                            <a:off x="0" y="0"/>
                            <a:ext cx="1638300" cy="2185035"/>
                          </a:xfrm>
                          <a:prstGeom prst="rect">
                            <a:avLst/>
                          </a:prstGeom>
                        </pic:spPr>
                      </pic:pic>
                    </a:graphicData>
                  </a:graphic>
                </wp:anchor>
              </w:drawing>
            </w:r>
            <w:r>
              <w:rPr>
                <w:rFonts w:hint="eastAsia" w:ascii="Times New Roman" w:hAnsi="Times New Roman" w:eastAsia="宋体" w:cs="Times New Roman"/>
                <w:b/>
                <w:bCs/>
                <w:color w:val="auto"/>
                <w:sz w:val="28"/>
                <w:szCs w:val="28"/>
                <w:shd w:val="clear" w:color="FFFFFF" w:fill="D9D9D9"/>
                <w:vertAlign w:val="baseline"/>
                <w:lang w:val="en-US" w:eastAsia="zh-CN"/>
              </w:rPr>
              <w:drawing>
                <wp:anchor distT="0" distB="0" distL="114300" distR="114300" simplePos="0" relativeHeight="251663360" behindDoc="1" locked="0" layoutInCell="1" allowOverlap="1">
                  <wp:simplePos x="0" y="0"/>
                  <wp:positionH relativeFrom="column">
                    <wp:posOffset>3655060</wp:posOffset>
                  </wp:positionH>
                  <wp:positionV relativeFrom="paragraph">
                    <wp:posOffset>2500630</wp:posOffset>
                  </wp:positionV>
                  <wp:extent cx="1648460" cy="2197735"/>
                  <wp:effectExtent l="0" t="0" r="8890" b="12065"/>
                  <wp:wrapTight wrapText="bothSides">
                    <wp:wrapPolygon>
                      <wp:start x="0" y="0"/>
                      <wp:lineTo x="0" y="21344"/>
                      <wp:lineTo x="21467" y="21344"/>
                      <wp:lineTo x="21467" y="0"/>
                      <wp:lineTo x="0" y="0"/>
                    </wp:wrapPolygon>
                  </wp:wrapTight>
                  <wp:docPr id="17" name="图片 17" descr="7c2ae1c3d2ab924168fca778141cf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7c2ae1c3d2ab924168fca778141cf476"/>
                          <pic:cNvPicPr>
                            <a:picLocks noChangeAspect="1"/>
                          </pic:cNvPicPr>
                        </pic:nvPicPr>
                        <pic:blipFill>
                          <a:blip r:embed="rId17"/>
                          <a:stretch>
                            <a:fillRect/>
                          </a:stretch>
                        </pic:blipFill>
                        <pic:spPr>
                          <a:xfrm>
                            <a:off x="0" y="0"/>
                            <a:ext cx="1648460" cy="2197735"/>
                          </a:xfrm>
                          <a:prstGeom prst="rect">
                            <a:avLst/>
                          </a:prstGeom>
                        </pic:spPr>
                      </pic:pic>
                    </a:graphicData>
                  </a:graphic>
                </wp:anchor>
              </w:drawing>
            </w:r>
            <w:r>
              <w:rPr>
                <w:rFonts w:hint="eastAsia" w:ascii="Times New Roman" w:hAnsi="Times New Roman" w:eastAsia="宋体" w:cs="Times New Roman"/>
                <w:b/>
                <w:bCs/>
                <w:color w:val="auto"/>
                <w:sz w:val="28"/>
                <w:szCs w:val="28"/>
                <w:shd w:val="clear" w:color="FFFFFF" w:fill="D9D9D9"/>
                <w:vertAlign w:val="baseline"/>
                <w:lang w:val="en-US" w:eastAsia="zh-CN"/>
              </w:rPr>
              <w:drawing>
                <wp:anchor distT="0" distB="0" distL="114300" distR="114300" simplePos="0" relativeHeight="251667456" behindDoc="1" locked="0" layoutInCell="1" allowOverlap="1">
                  <wp:simplePos x="0" y="0"/>
                  <wp:positionH relativeFrom="column">
                    <wp:posOffset>1805305</wp:posOffset>
                  </wp:positionH>
                  <wp:positionV relativeFrom="paragraph">
                    <wp:posOffset>2475865</wp:posOffset>
                  </wp:positionV>
                  <wp:extent cx="1645920" cy="2195195"/>
                  <wp:effectExtent l="0" t="0" r="0" b="0"/>
                  <wp:wrapTight wrapText="bothSides">
                    <wp:wrapPolygon>
                      <wp:start x="0" y="0"/>
                      <wp:lineTo x="0" y="21369"/>
                      <wp:lineTo x="21250" y="21369"/>
                      <wp:lineTo x="21250" y="0"/>
                      <wp:lineTo x="0" y="0"/>
                    </wp:wrapPolygon>
                  </wp:wrapTight>
                  <wp:docPr id="21" name="图片 21" descr="ae6a1f86c58ee201ed527c06addb6d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ae6a1f86c58ee201ed527c06addb6db3"/>
                          <pic:cNvPicPr>
                            <a:picLocks noChangeAspect="1"/>
                          </pic:cNvPicPr>
                        </pic:nvPicPr>
                        <pic:blipFill>
                          <a:blip r:embed="rId18"/>
                          <a:stretch>
                            <a:fillRect/>
                          </a:stretch>
                        </pic:blipFill>
                        <pic:spPr>
                          <a:xfrm>
                            <a:off x="0" y="0"/>
                            <a:ext cx="1645920" cy="2195195"/>
                          </a:xfrm>
                          <a:prstGeom prst="rect">
                            <a:avLst/>
                          </a:prstGeom>
                        </pic:spPr>
                      </pic:pic>
                    </a:graphicData>
                  </a:graphic>
                </wp:anchor>
              </w:drawing>
            </w:r>
            <w:r>
              <w:rPr>
                <w:rFonts w:hint="eastAsia" w:ascii="Times New Roman" w:hAnsi="Times New Roman" w:eastAsia="宋体" w:cs="Times New Roman"/>
                <w:b/>
                <w:bCs/>
                <w:color w:val="auto"/>
                <w:sz w:val="28"/>
                <w:szCs w:val="28"/>
                <w:shd w:val="clear" w:color="FFFFFF" w:fill="D9D9D9"/>
                <w:vertAlign w:val="baseline"/>
                <w:lang w:val="en-US" w:eastAsia="zh-CN"/>
              </w:rPr>
              <w:drawing>
                <wp:anchor distT="0" distB="0" distL="114300" distR="114300" simplePos="0" relativeHeight="251662336" behindDoc="1" locked="0" layoutInCell="1" allowOverlap="1">
                  <wp:simplePos x="0" y="0"/>
                  <wp:positionH relativeFrom="column">
                    <wp:posOffset>13335</wp:posOffset>
                  </wp:positionH>
                  <wp:positionV relativeFrom="paragraph">
                    <wp:posOffset>2466975</wp:posOffset>
                  </wp:positionV>
                  <wp:extent cx="1642745" cy="2190750"/>
                  <wp:effectExtent l="0" t="0" r="0" b="0"/>
                  <wp:wrapTight wrapText="bothSides">
                    <wp:wrapPolygon>
                      <wp:start x="0" y="0"/>
                      <wp:lineTo x="0" y="21412"/>
                      <wp:lineTo x="21291" y="21412"/>
                      <wp:lineTo x="21291" y="0"/>
                      <wp:lineTo x="0" y="0"/>
                    </wp:wrapPolygon>
                  </wp:wrapTight>
                  <wp:docPr id="16" name="图片 16" descr="f480e20b9118c38e68ae148ea185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480e20b9118c38e68ae148ea1857593"/>
                          <pic:cNvPicPr>
                            <a:picLocks noChangeAspect="1"/>
                          </pic:cNvPicPr>
                        </pic:nvPicPr>
                        <pic:blipFill>
                          <a:blip r:embed="rId19"/>
                          <a:stretch>
                            <a:fillRect/>
                          </a:stretch>
                        </pic:blipFill>
                        <pic:spPr>
                          <a:xfrm>
                            <a:off x="0" y="0"/>
                            <a:ext cx="1642745" cy="2190750"/>
                          </a:xfrm>
                          <a:prstGeom prst="rect">
                            <a:avLst/>
                          </a:prstGeom>
                        </pic:spPr>
                      </pic:pic>
                    </a:graphicData>
                  </a:graphic>
                </wp:anchor>
              </w:drawing>
            </w:r>
            <w:r>
              <w:rPr>
                <w:rFonts w:hint="eastAsia" w:ascii="Times New Roman" w:hAnsi="Times New Roman" w:eastAsia="宋体" w:cs="Times New Roman"/>
                <w:b/>
                <w:bCs/>
                <w:color w:val="auto"/>
                <w:sz w:val="28"/>
                <w:szCs w:val="28"/>
                <w:shd w:val="clear" w:color="FFFFFF" w:fill="D9D9D9"/>
                <w:vertAlign w:val="baseline"/>
                <w:lang w:val="en-US" w:eastAsia="zh-CN"/>
              </w:rPr>
              <w:drawing>
                <wp:anchor distT="0" distB="0" distL="114300" distR="114300" simplePos="0" relativeHeight="251659264" behindDoc="1" locked="0" layoutInCell="1" allowOverlap="1">
                  <wp:simplePos x="0" y="0"/>
                  <wp:positionH relativeFrom="column">
                    <wp:posOffset>22860</wp:posOffset>
                  </wp:positionH>
                  <wp:positionV relativeFrom="paragraph">
                    <wp:posOffset>58420</wp:posOffset>
                  </wp:positionV>
                  <wp:extent cx="1729105" cy="2306955"/>
                  <wp:effectExtent l="0" t="0" r="4445" b="17145"/>
                  <wp:wrapTight wrapText="bothSides">
                    <wp:wrapPolygon>
                      <wp:start x="0" y="0"/>
                      <wp:lineTo x="0" y="21404"/>
                      <wp:lineTo x="21418" y="21404"/>
                      <wp:lineTo x="21418" y="0"/>
                      <wp:lineTo x="0" y="0"/>
                    </wp:wrapPolygon>
                  </wp:wrapTight>
                  <wp:docPr id="13" name="图片 13" descr="15f77099bb9295208d65df7043d98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5f77099bb9295208d65df7043d98a4b"/>
                          <pic:cNvPicPr>
                            <a:picLocks noChangeAspect="1"/>
                          </pic:cNvPicPr>
                        </pic:nvPicPr>
                        <pic:blipFill>
                          <a:blip r:embed="rId20"/>
                          <a:stretch>
                            <a:fillRect/>
                          </a:stretch>
                        </pic:blipFill>
                        <pic:spPr>
                          <a:xfrm>
                            <a:off x="0" y="0"/>
                            <a:ext cx="1729105" cy="2306955"/>
                          </a:xfrm>
                          <a:prstGeom prst="rect">
                            <a:avLst/>
                          </a:prstGeom>
                        </pic:spPr>
                      </pic:pic>
                    </a:graphicData>
                  </a:graphic>
                </wp:anchor>
              </w:drawing>
            </w:r>
            <w:r>
              <w:rPr>
                <w:rFonts w:hint="eastAsia" w:ascii="Times New Roman" w:hAnsi="Times New Roman" w:eastAsia="宋体" w:cs="Times New Roman"/>
                <w:b/>
                <w:bCs/>
                <w:color w:val="auto"/>
                <w:sz w:val="28"/>
                <w:szCs w:val="28"/>
                <w:shd w:val="clear" w:color="FFFFFF" w:fill="D9D9D9"/>
                <w:vertAlign w:val="baseline"/>
                <w:lang w:val="en-US" w:eastAsia="zh-CN"/>
              </w:rPr>
              <w:drawing>
                <wp:anchor distT="0" distB="0" distL="114300" distR="114300" simplePos="0" relativeHeight="251660288" behindDoc="1" locked="0" layoutInCell="1" allowOverlap="1">
                  <wp:simplePos x="0" y="0"/>
                  <wp:positionH relativeFrom="column">
                    <wp:posOffset>1807845</wp:posOffset>
                  </wp:positionH>
                  <wp:positionV relativeFrom="paragraph">
                    <wp:posOffset>52070</wp:posOffset>
                  </wp:positionV>
                  <wp:extent cx="1736725" cy="2317115"/>
                  <wp:effectExtent l="0" t="0" r="0" b="0"/>
                  <wp:wrapTight wrapText="bothSides">
                    <wp:wrapPolygon>
                      <wp:start x="0" y="0"/>
                      <wp:lineTo x="0" y="21488"/>
                      <wp:lineTo x="21324" y="21488"/>
                      <wp:lineTo x="21324" y="0"/>
                      <wp:lineTo x="0" y="0"/>
                    </wp:wrapPolygon>
                  </wp:wrapTight>
                  <wp:docPr id="14" name="图片 14" descr="e6ce4738400d05365a538b742bac1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6ce4738400d05365a538b742bac1a00"/>
                          <pic:cNvPicPr>
                            <a:picLocks noChangeAspect="1"/>
                          </pic:cNvPicPr>
                        </pic:nvPicPr>
                        <pic:blipFill>
                          <a:blip r:embed="rId21"/>
                          <a:stretch>
                            <a:fillRect/>
                          </a:stretch>
                        </pic:blipFill>
                        <pic:spPr>
                          <a:xfrm>
                            <a:off x="0" y="0"/>
                            <a:ext cx="1736725" cy="2317115"/>
                          </a:xfrm>
                          <a:prstGeom prst="rect">
                            <a:avLst/>
                          </a:prstGeom>
                        </pic:spPr>
                      </pic:pic>
                    </a:graphicData>
                  </a:graphic>
                </wp:anchor>
              </w:drawing>
            </w:r>
            <w:r>
              <w:rPr>
                <w:rFonts w:hint="eastAsia" w:ascii="Times New Roman" w:hAnsi="Times New Roman" w:eastAsia="宋体" w:cs="Times New Roman"/>
                <w:b/>
                <w:bCs/>
                <w:color w:val="auto"/>
                <w:sz w:val="28"/>
                <w:szCs w:val="28"/>
                <w:shd w:val="clear" w:color="FFFFFF" w:fill="D9D9D9"/>
                <w:vertAlign w:val="baseline"/>
                <w:lang w:val="en-US" w:eastAsia="zh-CN"/>
              </w:rPr>
              <w:drawing>
                <wp:anchor distT="0" distB="0" distL="114300" distR="114300" simplePos="0" relativeHeight="251661312" behindDoc="1" locked="0" layoutInCell="1" allowOverlap="1">
                  <wp:simplePos x="0" y="0"/>
                  <wp:positionH relativeFrom="column">
                    <wp:posOffset>3625850</wp:posOffset>
                  </wp:positionH>
                  <wp:positionV relativeFrom="paragraph">
                    <wp:posOffset>53975</wp:posOffset>
                  </wp:positionV>
                  <wp:extent cx="1756410" cy="2343150"/>
                  <wp:effectExtent l="0" t="0" r="0" b="0"/>
                  <wp:wrapTight wrapText="bothSides">
                    <wp:wrapPolygon>
                      <wp:start x="0" y="0"/>
                      <wp:lineTo x="0" y="21424"/>
                      <wp:lineTo x="21319" y="21424"/>
                      <wp:lineTo x="21319" y="0"/>
                      <wp:lineTo x="0" y="0"/>
                    </wp:wrapPolygon>
                  </wp:wrapTight>
                  <wp:docPr id="15" name="图片 15" descr="c5467682659f568ab4ef0f0923995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5467682659f568ab4ef0f0923995d83"/>
                          <pic:cNvPicPr>
                            <a:picLocks noChangeAspect="1"/>
                          </pic:cNvPicPr>
                        </pic:nvPicPr>
                        <pic:blipFill>
                          <a:blip r:embed="rId22"/>
                          <a:stretch>
                            <a:fillRect/>
                          </a:stretch>
                        </pic:blipFill>
                        <pic:spPr>
                          <a:xfrm>
                            <a:off x="0" y="0"/>
                            <a:ext cx="1756410" cy="2343150"/>
                          </a:xfrm>
                          <a:prstGeom prst="rect">
                            <a:avLst/>
                          </a:prstGeom>
                        </pic:spPr>
                      </pic:pic>
                    </a:graphicData>
                  </a:graphic>
                </wp:anchor>
              </w:drawing>
            </w:r>
          </w:p>
        </w:tc>
      </w:tr>
      <w:permEnd w:id="0"/>
    </w:tbl>
    <w:p w14:paraId="53C256AB">
      <w:pPr>
        <w:widowControl/>
        <w:tabs>
          <w:tab w:val="left" w:pos="360"/>
        </w:tabs>
        <w:spacing w:line="440" w:lineRule="exact"/>
        <w:jc w:val="left"/>
        <w:rPr>
          <w:rFonts w:hint="eastAsia" w:ascii="Times New Roman" w:hAnsi="Times New Roman" w:eastAsia="宋体" w:cs="Times New Roman"/>
          <w:b/>
          <w:bCs/>
          <w:color w:val="auto"/>
          <w:sz w:val="28"/>
          <w:szCs w:val="28"/>
          <w:shd w:val="clear" w:color="FFFFFF" w:fill="D9D9D9"/>
          <w:lang w:val="en-US" w:eastAsia="zh-CN"/>
        </w:rPr>
      </w:pPr>
    </w:p>
    <w:p w14:paraId="21007E60">
      <w:pPr>
        <w:pStyle w:val="2"/>
        <w:rPr>
          <w:rFonts w:hint="eastAsia" w:ascii="Times New Roman" w:hAnsi="Times New Roman" w:eastAsia="宋体" w:cs="Times New Roman"/>
          <w:b/>
          <w:bCs/>
          <w:color w:val="auto"/>
          <w:sz w:val="28"/>
          <w:szCs w:val="28"/>
          <w:shd w:val="clear" w:color="FFFFFF" w:fill="D9D9D9"/>
          <w:lang w:val="en-US" w:eastAsia="zh-CN"/>
        </w:rPr>
      </w:pPr>
    </w:p>
    <w:p w14:paraId="14A8B450">
      <w:pPr>
        <w:pStyle w:val="2"/>
        <w:rPr>
          <w:rFonts w:hint="eastAsia" w:ascii="Times New Roman" w:hAnsi="Times New Roman" w:eastAsia="宋体" w:cs="Times New Roman"/>
          <w:b/>
          <w:bCs/>
          <w:color w:val="auto"/>
          <w:sz w:val="28"/>
          <w:szCs w:val="28"/>
          <w:shd w:val="clear" w:color="FFFFFF" w:fill="D9D9D9"/>
          <w:lang w:val="en-US" w:eastAsia="zh-CN"/>
        </w:rPr>
      </w:pPr>
    </w:p>
    <w:p w14:paraId="7F915F05">
      <w:pPr>
        <w:pStyle w:val="2"/>
        <w:rPr>
          <w:rFonts w:hint="eastAsia" w:ascii="Times New Roman" w:hAnsi="Times New Roman" w:eastAsia="宋体" w:cs="Times New Roman"/>
          <w:b/>
          <w:bCs/>
          <w:color w:val="auto"/>
          <w:sz w:val="28"/>
          <w:szCs w:val="28"/>
          <w:shd w:val="clear" w:color="FFFFFF" w:fill="D9D9D9"/>
          <w:lang w:val="en-US" w:eastAsia="zh-CN"/>
        </w:rPr>
      </w:pPr>
    </w:p>
    <w:p w14:paraId="62BBFE64">
      <w:pPr>
        <w:widowControl/>
        <w:tabs>
          <w:tab w:val="left" w:pos="360"/>
        </w:tabs>
        <w:spacing w:line="440" w:lineRule="exact"/>
        <w:jc w:val="left"/>
        <w:rPr>
          <w:rFonts w:hint="default" w:ascii="Times New Roman" w:hAnsi="Times New Roman" w:eastAsia="宋体" w:cs="Times New Roman"/>
          <w:b/>
          <w:bCs/>
          <w:color w:val="auto"/>
          <w:sz w:val="28"/>
          <w:szCs w:val="28"/>
          <w:shd w:val="clear" w:color="FFFFFF" w:fill="D9D9D9"/>
          <w:lang w:val="en-US" w:eastAsia="zh-CN"/>
        </w:rPr>
      </w:pPr>
      <w:r>
        <w:rPr>
          <w:rFonts w:hint="eastAsia" w:ascii="Times New Roman" w:hAnsi="Times New Roman" w:eastAsia="宋体" w:cs="Times New Roman"/>
          <w:b/>
          <w:bCs/>
          <w:color w:val="auto"/>
          <w:sz w:val="28"/>
          <w:szCs w:val="28"/>
          <w:shd w:val="clear" w:color="FFFFFF" w:fill="D9D9D9"/>
          <w:lang w:val="en-US" w:eastAsia="zh-CN"/>
        </w:rPr>
        <w:t>三、家具尺寸配置参考</w:t>
      </w:r>
      <w:r>
        <w:rPr>
          <w:rFonts w:hint="eastAsia" w:ascii="Times New Roman" w:hAnsi="Times New Roman" w:eastAsia="宋体" w:cs="Times New Roman"/>
          <w:b/>
          <w:bCs/>
          <w:color w:val="auto"/>
          <w:sz w:val="28"/>
          <w:szCs w:val="28"/>
          <w:shd w:val="clear" w:color="FFFFFF" w:fill="D9D9D9"/>
          <w:lang w:eastAsia="zh-CN"/>
        </w:rPr>
        <w:t>（</w:t>
      </w:r>
      <w:r>
        <w:rPr>
          <w:rFonts w:hint="eastAsia" w:ascii="Times New Roman" w:hAnsi="Times New Roman" w:eastAsia="宋体" w:cs="Times New Roman"/>
          <w:b/>
          <w:bCs/>
          <w:color w:val="auto"/>
          <w:sz w:val="28"/>
          <w:szCs w:val="28"/>
          <w:shd w:val="clear" w:color="FFFFFF" w:fill="D9D9D9"/>
          <w:lang w:val="en-US" w:eastAsia="zh-CN"/>
        </w:rPr>
        <w:t>具体以现场勘查为准</w:t>
      </w:r>
      <w:r>
        <w:rPr>
          <w:rFonts w:hint="eastAsia" w:ascii="Times New Roman" w:hAnsi="Times New Roman" w:eastAsia="宋体" w:cs="Times New Roman"/>
          <w:b/>
          <w:bCs/>
          <w:color w:val="auto"/>
          <w:sz w:val="28"/>
          <w:szCs w:val="28"/>
          <w:shd w:val="clear" w:color="FFFFFF" w:fill="D9D9D9"/>
          <w:lang w:eastAsia="zh-CN"/>
        </w:rPr>
        <w:t>）</w:t>
      </w:r>
    </w:p>
    <w:tbl>
      <w:tblPr>
        <w:tblStyle w:val="21"/>
        <w:tblW w:w="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0"/>
        <w:gridCol w:w="658"/>
        <w:gridCol w:w="673"/>
        <w:gridCol w:w="550"/>
        <w:gridCol w:w="650"/>
        <w:gridCol w:w="719"/>
      </w:tblGrid>
      <w:tr w14:paraId="1EC7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6" w:hRule="atLeast"/>
        </w:trPr>
        <w:tc>
          <w:tcPr>
            <w:tcW w:w="38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FC22">
            <w:pPr>
              <w:keepNext w:val="0"/>
              <w:keepLines w:val="0"/>
              <w:widowControl/>
              <w:suppressLineNumbers w:val="0"/>
              <w:jc w:val="center"/>
              <w:textAlignment w:val="center"/>
              <w:rPr>
                <w:rFonts w:hint="eastAsia" w:ascii="宋体" w:hAnsi="宋体" w:eastAsia="宋体" w:cs="宋体"/>
                <w:b/>
                <w:bCs/>
                <w:i w:val="0"/>
                <w:iCs w:val="0"/>
                <w:color w:val="auto"/>
                <w:sz w:val="15"/>
                <w:szCs w:val="15"/>
                <w:u w:val="none"/>
              </w:rPr>
            </w:pPr>
            <w:r>
              <w:rPr>
                <w:rFonts w:hint="eastAsia" w:ascii="宋体" w:hAnsi="宋体" w:eastAsia="宋体" w:cs="宋体"/>
                <w:b/>
                <w:bCs/>
                <w:i w:val="0"/>
                <w:iCs w:val="0"/>
                <w:color w:val="auto"/>
                <w:kern w:val="0"/>
                <w:sz w:val="15"/>
                <w:szCs w:val="15"/>
                <w:u w:val="none"/>
                <w:lang w:val="en-US" w:eastAsia="zh-CN" w:bidi="ar"/>
              </w:rPr>
              <w:t>衣柜尺寸分解表</w:t>
            </w:r>
          </w:p>
        </w:tc>
      </w:tr>
      <w:tr w14:paraId="34CB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524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户型</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E73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房间</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1BD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产品名称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EDB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宽</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BF7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高（预估）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D54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面积</w:t>
            </w:r>
          </w:p>
        </w:tc>
      </w:tr>
      <w:tr w14:paraId="4208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335F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A户型</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C52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主卧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57D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F1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64E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545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3m²</w:t>
            </w:r>
          </w:p>
        </w:tc>
      </w:tr>
      <w:tr w14:paraId="2124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DC3D4">
            <w:pPr>
              <w:jc w:val="center"/>
              <w:rPr>
                <w:rFonts w:hint="eastAsia" w:ascii="宋体" w:hAnsi="宋体" w:eastAsia="宋体" w:cs="宋体"/>
                <w:i w:val="0"/>
                <w:iCs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F6C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主卧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7A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199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CC0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BC7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3m²</w:t>
            </w:r>
          </w:p>
        </w:tc>
      </w:tr>
      <w:tr w14:paraId="2340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E03D6">
            <w:pPr>
              <w:jc w:val="center"/>
              <w:rPr>
                <w:rFonts w:hint="eastAsia" w:ascii="宋体" w:hAnsi="宋体" w:eastAsia="宋体" w:cs="宋体"/>
                <w:i w:val="0"/>
                <w:iCs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C40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主卧妆台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5D2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D61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0.8m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7D2C">
            <w:pPr>
              <w:keepNext w:val="0"/>
              <w:keepLines w:val="0"/>
              <w:widowControl/>
              <w:suppressLineNumbers w:val="0"/>
              <w:jc w:val="center"/>
              <w:textAlignment w:val="center"/>
              <w:rPr>
                <w:rFonts w:hint="default"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1m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A46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0.8m²</w:t>
            </w:r>
          </w:p>
        </w:tc>
      </w:tr>
      <w:tr w14:paraId="4725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8A3E1">
            <w:pPr>
              <w:jc w:val="center"/>
              <w:rPr>
                <w:rFonts w:hint="eastAsia" w:ascii="宋体" w:hAnsi="宋体" w:eastAsia="宋体" w:cs="宋体"/>
                <w:i w:val="0"/>
                <w:iCs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C5C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入户次卧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8C4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6D1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E6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4AA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3.25m²</w:t>
            </w:r>
          </w:p>
        </w:tc>
      </w:tr>
      <w:tr w14:paraId="0ADB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0BD40">
            <w:pPr>
              <w:jc w:val="center"/>
              <w:rPr>
                <w:rFonts w:hint="eastAsia" w:ascii="宋体" w:hAnsi="宋体" w:eastAsia="宋体" w:cs="宋体"/>
                <w:i w:val="0"/>
                <w:iCs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A1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中间次卧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D91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B97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1.7m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17C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84A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4.25m²</w:t>
            </w:r>
          </w:p>
        </w:tc>
      </w:tr>
      <w:tr w14:paraId="4AABA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1D0A">
            <w:pPr>
              <w:jc w:val="center"/>
              <w:rPr>
                <w:rFonts w:hint="eastAsia" w:ascii="宋体" w:hAnsi="宋体" w:eastAsia="宋体" w:cs="宋体"/>
                <w:i w:val="0"/>
                <w:iCs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1C3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中间次卧书桌+书架</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194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E1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0.9m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E11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1.9m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513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1.71m²</w:t>
            </w:r>
          </w:p>
        </w:tc>
      </w:tr>
      <w:tr w14:paraId="264E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0AC6">
            <w:pPr>
              <w:jc w:val="center"/>
              <w:rPr>
                <w:rFonts w:hint="eastAsia" w:ascii="宋体" w:hAnsi="宋体" w:eastAsia="宋体" w:cs="宋体"/>
                <w:i w:val="0"/>
                <w:iCs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EFB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主卧旁次卧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5DE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BA9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0EC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0DC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3.25m²</w:t>
            </w:r>
          </w:p>
        </w:tc>
      </w:tr>
      <w:tr w14:paraId="30D0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22C18">
            <w:pPr>
              <w:jc w:val="center"/>
              <w:rPr>
                <w:rFonts w:hint="eastAsia" w:ascii="宋体" w:hAnsi="宋体" w:eastAsia="宋体" w:cs="宋体"/>
                <w:i w:val="0"/>
                <w:iCs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92B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主卧旁次卧书桌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39B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B9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0.9m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4B">
            <w:pPr>
              <w:keepNext w:val="0"/>
              <w:keepLines w:val="0"/>
              <w:widowControl/>
              <w:suppressLineNumbers w:val="0"/>
              <w:jc w:val="center"/>
              <w:textAlignment w:val="center"/>
              <w:rPr>
                <w:rFonts w:hint="default"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1m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50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0.9m²</w:t>
            </w:r>
          </w:p>
        </w:tc>
      </w:tr>
      <w:tr w14:paraId="30E8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92F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合计</w:t>
            </w:r>
          </w:p>
        </w:tc>
        <w:tc>
          <w:tcPr>
            <w:tcW w:w="2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8765A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20.16m²</w:t>
            </w:r>
          </w:p>
        </w:tc>
      </w:tr>
      <w:tr w14:paraId="5E4B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253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B户型</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D7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主卧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671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A71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CF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FF0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4.5m²</w:t>
            </w:r>
          </w:p>
        </w:tc>
      </w:tr>
      <w:tr w14:paraId="00FD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A2079">
            <w:pPr>
              <w:jc w:val="center"/>
              <w:rPr>
                <w:rFonts w:hint="eastAsia" w:ascii="宋体" w:hAnsi="宋体" w:eastAsia="宋体" w:cs="宋体"/>
                <w:i w:val="0"/>
                <w:iCs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DBB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南次卧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3CA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983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5F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01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3.75m²</w:t>
            </w:r>
          </w:p>
        </w:tc>
      </w:tr>
      <w:tr w14:paraId="20F1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0C80">
            <w:pPr>
              <w:jc w:val="center"/>
              <w:rPr>
                <w:rFonts w:hint="eastAsia" w:ascii="宋体" w:hAnsi="宋体" w:eastAsia="宋体" w:cs="宋体"/>
                <w:i w:val="0"/>
                <w:iCs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5D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北次卧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C1B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F3F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17E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7F7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3m²</w:t>
            </w:r>
          </w:p>
        </w:tc>
      </w:tr>
      <w:tr w14:paraId="591E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D2B7E">
            <w:pPr>
              <w:jc w:val="center"/>
              <w:rPr>
                <w:rFonts w:hint="eastAsia" w:ascii="宋体" w:hAnsi="宋体" w:eastAsia="宋体" w:cs="宋体"/>
                <w:i w:val="0"/>
                <w:iCs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D54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北次卧榻榻米</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A3F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766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19C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1.85m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2D3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2.22m²</w:t>
            </w:r>
          </w:p>
        </w:tc>
      </w:tr>
      <w:tr w14:paraId="048F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D312">
            <w:pPr>
              <w:jc w:val="center"/>
              <w:rPr>
                <w:rFonts w:hint="eastAsia" w:ascii="宋体" w:hAnsi="宋体" w:eastAsia="宋体" w:cs="宋体"/>
                <w:i w:val="0"/>
                <w:iCs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AFF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北次卧书桌+书架</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67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111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A2A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1.9m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3B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2.09m²</w:t>
            </w:r>
          </w:p>
        </w:tc>
      </w:tr>
      <w:tr w14:paraId="4750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C4583">
            <w:pPr>
              <w:jc w:val="center"/>
              <w:rPr>
                <w:rFonts w:hint="eastAsia" w:ascii="宋体" w:hAnsi="宋体" w:eastAsia="宋体" w:cs="宋体"/>
                <w:i w:val="0"/>
                <w:iCs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FC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阳台储物柜</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629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C87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1.6m</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6EC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2.7m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BB1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4.32m²</w:t>
            </w:r>
          </w:p>
        </w:tc>
      </w:tr>
      <w:tr w14:paraId="23DF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6A29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合计</w:t>
            </w:r>
          </w:p>
        </w:tc>
        <w:tc>
          <w:tcPr>
            <w:tcW w:w="2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2CC65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20.06m²</w:t>
            </w:r>
          </w:p>
        </w:tc>
      </w:tr>
    </w:tbl>
    <w:tbl>
      <w:tblPr>
        <w:tblStyle w:val="21"/>
        <w:tblpPr w:leftFromText="180" w:rightFromText="180" w:vertAnchor="text" w:horzAnchor="page" w:tblpX="6106" w:tblpY="-7123"/>
        <w:tblOverlap w:val="never"/>
        <w:tblW w:w="3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924"/>
        <w:gridCol w:w="924"/>
        <w:gridCol w:w="1238"/>
      </w:tblGrid>
      <w:tr w14:paraId="6785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5" w:hRule="atLeast"/>
        </w:trPr>
        <w:tc>
          <w:tcPr>
            <w:tcW w:w="38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A523">
            <w:pPr>
              <w:keepNext w:val="0"/>
              <w:keepLines w:val="0"/>
              <w:widowControl/>
              <w:suppressLineNumbers w:val="0"/>
              <w:jc w:val="center"/>
              <w:textAlignment w:val="center"/>
              <w:rPr>
                <w:rFonts w:hint="eastAsia" w:ascii="宋体" w:hAnsi="宋体" w:eastAsia="宋体" w:cs="宋体"/>
                <w:b/>
                <w:bCs/>
                <w:i w:val="0"/>
                <w:iCs w:val="0"/>
                <w:color w:val="auto"/>
                <w:sz w:val="15"/>
                <w:szCs w:val="15"/>
                <w:u w:val="none"/>
              </w:rPr>
            </w:pPr>
            <w:r>
              <w:rPr>
                <w:rFonts w:hint="eastAsia" w:ascii="宋体" w:hAnsi="宋体" w:eastAsia="宋体" w:cs="宋体"/>
                <w:b/>
                <w:bCs/>
                <w:i w:val="0"/>
                <w:iCs w:val="0"/>
                <w:color w:val="auto"/>
                <w:kern w:val="0"/>
                <w:sz w:val="15"/>
                <w:szCs w:val="15"/>
                <w:u w:val="none"/>
                <w:lang w:val="en-US" w:eastAsia="zh-CN" w:bidi="ar"/>
              </w:rPr>
              <w:t>家具清单分解表</w:t>
            </w:r>
          </w:p>
        </w:tc>
      </w:tr>
      <w:tr w14:paraId="3E75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47E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户型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E78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房间</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2D0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产品名称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243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建议尺寸</w:t>
            </w:r>
          </w:p>
        </w:tc>
      </w:tr>
      <w:tr w14:paraId="6287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956F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A户型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D8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客厅</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1D4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沙发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36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2.7米</w:t>
            </w:r>
          </w:p>
        </w:tc>
      </w:tr>
      <w:tr w14:paraId="6E8C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AFC01">
            <w:pPr>
              <w:jc w:val="center"/>
              <w:rPr>
                <w:rFonts w:hint="eastAsia" w:ascii="宋体" w:hAnsi="宋体" w:eastAsia="宋体" w:cs="宋体"/>
                <w:i w:val="0"/>
                <w:iCs w:val="0"/>
                <w:color w:val="auto"/>
                <w:sz w:val="15"/>
                <w:szCs w:val="15"/>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DE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客厅</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D93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电视柜</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85D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1.8米</w:t>
            </w:r>
          </w:p>
        </w:tc>
      </w:tr>
      <w:tr w14:paraId="6F42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6BD47">
            <w:pPr>
              <w:jc w:val="center"/>
              <w:rPr>
                <w:rFonts w:hint="eastAsia" w:ascii="宋体" w:hAnsi="宋体" w:eastAsia="宋体" w:cs="宋体"/>
                <w:i w:val="0"/>
                <w:iCs w:val="0"/>
                <w:color w:val="auto"/>
                <w:sz w:val="15"/>
                <w:szCs w:val="15"/>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FA5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餐厅</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5EB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餐桌</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6F2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1.6米</w:t>
            </w:r>
          </w:p>
        </w:tc>
      </w:tr>
      <w:tr w14:paraId="039D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6DCFD">
            <w:pPr>
              <w:jc w:val="center"/>
              <w:rPr>
                <w:rFonts w:hint="eastAsia" w:ascii="宋体" w:hAnsi="宋体" w:eastAsia="宋体" w:cs="宋体"/>
                <w:i w:val="0"/>
                <w:iCs w:val="0"/>
                <w:color w:val="auto"/>
                <w:sz w:val="15"/>
                <w:szCs w:val="15"/>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CD6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餐厅</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DC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餐椅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387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常规*4</w:t>
            </w:r>
          </w:p>
        </w:tc>
      </w:tr>
      <w:tr w14:paraId="7F23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91417">
            <w:pPr>
              <w:jc w:val="center"/>
              <w:rPr>
                <w:rFonts w:hint="eastAsia" w:ascii="宋体" w:hAnsi="宋体" w:eastAsia="宋体" w:cs="宋体"/>
                <w:i w:val="0"/>
                <w:iCs w:val="0"/>
                <w:color w:val="auto"/>
                <w:sz w:val="15"/>
                <w:szCs w:val="15"/>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C4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主卧</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90E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床</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15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1.8米</w:t>
            </w:r>
          </w:p>
        </w:tc>
      </w:tr>
      <w:tr w14:paraId="0729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4CC09">
            <w:pPr>
              <w:jc w:val="center"/>
              <w:rPr>
                <w:rFonts w:hint="eastAsia" w:ascii="宋体" w:hAnsi="宋体" w:eastAsia="宋体" w:cs="宋体"/>
                <w:i w:val="0"/>
                <w:iCs w:val="0"/>
                <w:color w:val="auto"/>
                <w:sz w:val="15"/>
                <w:szCs w:val="15"/>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AD0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主卧</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2DD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床头柜</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2C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2个</w:t>
            </w:r>
          </w:p>
        </w:tc>
      </w:tr>
      <w:tr w14:paraId="432E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CD1F">
            <w:pPr>
              <w:jc w:val="center"/>
              <w:rPr>
                <w:rFonts w:hint="eastAsia" w:ascii="宋体" w:hAnsi="宋体" w:eastAsia="宋体" w:cs="宋体"/>
                <w:i w:val="0"/>
                <w:iCs w:val="0"/>
                <w:color w:val="auto"/>
                <w:sz w:val="15"/>
                <w:szCs w:val="15"/>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563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次卧</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60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床</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44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1.5米</w:t>
            </w:r>
          </w:p>
        </w:tc>
      </w:tr>
      <w:tr w14:paraId="2108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77180">
            <w:pPr>
              <w:jc w:val="center"/>
              <w:rPr>
                <w:rFonts w:hint="eastAsia" w:ascii="宋体" w:hAnsi="宋体" w:eastAsia="宋体" w:cs="宋体"/>
                <w:i w:val="0"/>
                <w:iCs w:val="0"/>
                <w:color w:val="auto"/>
                <w:sz w:val="15"/>
                <w:szCs w:val="15"/>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D34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次卧</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498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床头柜</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145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1个</w:t>
            </w:r>
          </w:p>
        </w:tc>
      </w:tr>
      <w:tr w14:paraId="69A9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5AE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B户型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5E1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客厅</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0C0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沙发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F34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2.7米</w:t>
            </w:r>
          </w:p>
        </w:tc>
      </w:tr>
      <w:tr w14:paraId="0F47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55BA">
            <w:pPr>
              <w:jc w:val="center"/>
              <w:rPr>
                <w:rFonts w:hint="eastAsia" w:ascii="宋体" w:hAnsi="宋体" w:eastAsia="宋体" w:cs="宋体"/>
                <w:i w:val="0"/>
                <w:iCs w:val="0"/>
                <w:color w:val="auto"/>
                <w:sz w:val="15"/>
                <w:szCs w:val="15"/>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A1B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客厅</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FE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电视柜</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8CA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1.8米</w:t>
            </w:r>
          </w:p>
        </w:tc>
      </w:tr>
      <w:tr w14:paraId="48E2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462AD">
            <w:pPr>
              <w:jc w:val="center"/>
              <w:rPr>
                <w:rFonts w:hint="eastAsia" w:ascii="宋体" w:hAnsi="宋体" w:eastAsia="宋体" w:cs="宋体"/>
                <w:i w:val="0"/>
                <w:iCs w:val="0"/>
                <w:color w:val="auto"/>
                <w:sz w:val="15"/>
                <w:szCs w:val="15"/>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927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餐厅</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E4D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餐桌</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C16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1.4米</w:t>
            </w:r>
          </w:p>
        </w:tc>
      </w:tr>
      <w:tr w14:paraId="0A6B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FC48">
            <w:pPr>
              <w:jc w:val="center"/>
              <w:rPr>
                <w:rFonts w:hint="eastAsia" w:ascii="宋体" w:hAnsi="宋体" w:eastAsia="宋体" w:cs="宋体"/>
                <w:i w:val="0"/>
                <w:iCs w:val="0"/>
                <w:color w:val="auto"/>
                <w:sz w:val="15"/>
                <w:szCs w:val="15"/>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C27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餐厅</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145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餐椅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8D7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常规*4</w:t>
            </w:r>
          </w:p>
        </w:tc>
      </w:tr>
      <w:tr w14:paraId="2231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7A06">
            <w:pPr>
              <w:jc w:val="center"/>
              <w:rPr>
                <w:rFonts w:hint="eastAsia" w:ascii="宋体" w:hAnsi="宋体" w:eastAsia="宋体" w:cs="宋体"/>
                <w:i w:val="0"/>
                <w:iCs w:val="0"/>
                <w:color w:val="auto"/>
                <w:sz w:val="15"/>
                <w:szCs w:val="15"/>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BA5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主卧</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A9B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床</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190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1.5米</w:t>
            </w:r>
          </w:p>
        </w:tc>
      </w:tr>
      <w:tr w14:paraId="55B9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D6175">
            <w:pPr>
              <w:jc w:val="center"/>
              <w:rPr>
                <w:rFonts w:hint="eastAsia" w:ascii="宋体" w:hAnsi="宋体" w:eastAsia="宋体" w:cs="宋体"/>
                <w:i w:val="0"/>
                <w:iCs w:val="0"/>
                <w:color w:val="auto"/>
                <w:sz w:val="15"/>
                <w:szCs w:val="15"/>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97E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次卧</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3D4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床</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AAE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1.5米</w:t>
            </w:r>
          </w:p>
        </w:tc>
      </w:tr>
    </w:tbl>
    <w:p w14:paraId="057DFB96">
      <w:pPr>
        <w:pStyle w:val="2"/>
        <w:rPr>
          <w:rFonts w:hint="eastAsia" w:ascii="Times New Roman" w:hAnsi="Times New Roman" w:eastAsia="宋体" w:cs="Times New Roman"/>
          <w:color w:val="auto"/>
          <w:sz w:val="15"/>
          <w:szCs w:val="15"/>
          <w:highlight w:val="none"/>
          <w:lang w:val="en-US" w:eastAsia="zh-CN"/>
        </w:rPr>
      </w:pPr>
    </w:p>
    <w:p w14:paraId="4E7E6A7B">
      <w:pPr>
        <w:pStyle w:val="2"/>
        <w:rPr>
          <w:rFonts w:ascii="Times New Roman" w:hAnsi="Times New Roman" w:eastAsia="宋体" w:cs="Times New Roman"/>
          <w:color w:val="auto"/>
          <w:highlight w:val="none"/>
        </w:rPr>
      </w:pPr>
    </w:p>
    <w:p w14:paraId="35B728BA">
      <w:pPr>
        <w:pStyle w:val="2"/>
        <w:rPr>
          <w:rFonts w:ascii="Times New Roman" w:hAnsi="Times New Roman" w:eastAsia="宋体" w:cs="Times New Roman"/>
          <w:color w:val="auto"/>
          <w:highlight w:val="none"/>
        </w:rPr>
      </w:pPr>
    </w:p>
    <w:p w14:paraId="4641D532">
      <w:pPr>
        <w:pStyle w:val="2"/>
        <w:rPr>
          <w:rFonts w:ascii="Times New Roman" w:hAnsi="Times New Roman" w:eastAsia="宋体" w:cs="Times New Roman"/>
          <w:color w:val="auto"/>
          <w:highlight w:val="none"/>
        </w:rPr>
      </w:pPr>
    </w:p>
    <w:p w14:paraId="5B3D7E93">
      <w:pPr>
        <w:pStyle w:val="2"/>
        <w:rPr>
          <w:rFonts w:ascii="Times New Roman" w:hAnsi="Times New Roman" w:eastAsia="宋体" w:cs="Times New Roman"/>
          <w:color w:val="auto"/>
          <w:highlight w:val="none"/>
        </w:rPr>
      </w:pPr>
    </w:p>
    <w:p w14:paraId="22BCF639">
      <w:pPr>
        <w:pStyle w:val="2"/>
        <w:rPr>
          <w:rFonts w:ascii="Times New Roman" w:hAnsi="Times New Roman" w:eastAsia="宋体" w:cs="Times New Roman"/>
          <w:color w:val="auto"/>
          <w:highlight w:val="none"/>
        </w:rPr>
      </w:pPr>
    </w:p>
    <w:p w14:paraId="0845537C">
      <w:pPr>
        <w:pStyle w:val="2"/>
        <w:rPr>
          <w:rFonts w:ascii="Times New Roman" w:hAnsi="Times New Roman" w:eastAsia="宋体" w:cs="Times New Roman"/>
          <w:color w:val="auto"/>
          <w:highlight w:val="none"/>
        </w:rPr>
      </w:pPr>
    </w:p>
    <w:p w14:paraId="76038302">
      <w:pPr>
        <w:pStyle w:val="2"/>
        <w:rPr>
          <w:rFonts w:ascii="Times New Roman" w:hAnsi="Times New Roman" w:eastAsia="宋体" w:cs="Times New Roman"/>
          <w:color w:val="auto"/>
          <w:highlight w:val="none"/>
        </w:rPr>
      </w:pPr>
    </w:p>
    <w:p w14:paraId="0A472717">
      <w:pPr>
        <w:pStyle w:val="2"/>
        <w:rPr>
          <w:rFonts w:ascii="Times New Roman" w:hAnsi="Times New Roman" w:eastAsia="宋体" w:cs="Times New Roman"/>
          <w:color w:val="auto"/>
          <w:highlight w:val="none"/>
        </w:rPr>
      </w:pPr>
    </w:p>
    <w:p w14:paraId="2D79F28E">
      <w:pPr>
        <w:pStyle w:val="2"/>
        <w:rPr>
          <w:rFonts w:ascii="Times New Roman" w:hAnsi="Times New Roman" w:eastAsia="宋体" w:cs="Times New Roman"/>
          <w:color w:val="auto"/>
          <w:highlight w:val="none"/>
        </w:rPr>
      </w:pPr>
    </w:p>
    <w:p w14:paraId="5A3781C1">
      <w:pPr>
        <w:pStyle w:val="2"/>
        <w:rPr>
          <w:rFonts w:ascii="Times New Roman" w:hAnsi="Times New Roman" w:eastAsia="宋体" w:cs="Times New Roman"/>
          <w:color w:val="auto"/>
          <w:highlight w:val="none"/>
        </w:rPr>
      </w:pPr>
    </w:p>
    <w:p w14:paraId="6767B5ED">
      <w:pPr>
        <w:pStyle w:val="2"/>
        <w:rPr>
          <w:rFonts w:ascii="Times New Roman" w:hAnsi="Times New Roman" w:eastAsia="宋体" w:cs="Times New Roman"/>
          <w:color w:val="auto"/>
          <w:highlight w:val="none"/>
        </w:rPr>
      </w:pPr>
    </w:p>
    <w:p w14:paraId="46D5D147">
      <w:pPr>
        <w:pStyle w:val="2"/>
        <w:rPr>
          <w:rFonts w:ascii="Times New Roman" w:hAnsi="Times New Roman" w:eastAsia="宋体" w:cs="Times New Roman"/>
          <w:color w:val="auto"/>
          <w:highlight w:val="none"/>
        </w:rPr>
      </w:pPr>
    </w:p>
    <w:p w14:paraId="5C00F503">
      <w:pPr>
        <w:pStyle w:val="2"/>
        <w:rPr>
          <w:rFonts w:ascii="Times New Roman" w:hAnsi="Times New Roman" w:eastAsia="宋体" w:cs="Times New Roman"/>
          <w:color w:val="auto"/>
          <w:highlight w:val="none"/>
        </w:rPr>
      </w:pPr>
    </w:p>
    <w:p w14:paraId="17353041">
      <w:pPr>
        <w:pStyle w:val="2"/>
        <w:rPr>
          <w:rFonts w:ascii="Times New Roman" w:hAnsi="Times New Roman" w:eastAsia="宋体" w:cs="Times New Roman"/>
          <w:color w:val="auto"/>
          <w:highlight w:val="none"/>
        </w:rPr>
      </w:pPr>
    </w:p>
    <w:p w14:paraId="35B5E200">
      <w:pPr>
        <w:pStyle w:val="2"/>
        <w:rPr>
          <w:rFonts w:ascii="Times New Roman" w:hAnsi="Times New Roman" w:eastAsia="宋体" w:cs="Times New Roman"/>
          <w:color w:val="auto"/>
          <w:highlight w:val="none"/>
        </w:rPr>
      </w:pPr>
    </w:p>
    <w:p w14:paraId="06CA7430">
      <w:pPr>
        <w:pStyle w:val="3"/>
        <w:numPr>
          <w:ilvl w:val="0"/>
          <w:numId w:val="0"/>
        </w:numPr>
        <w:spacing w:before="312" w:after="312"/>
        <w:ind w:left="402" w:leftChars="0"/>
        <w:rPr>
          <w:rFonts w:ascii="Times New Roman" w:hAnsi="Times New Roman" w:eastAsia="宋体" w:cs="Times New Roman"/>
          <w:color w:val="auto"/>
          <w:highlight w:val="none"/>
        </w:rPr>
      </w:pPr>
      <w:bookmarkStart w:id="206" w:name="_Toc31120"/>
      <w:r>
        <w:rPr>
          <w:rFonts w:hint="eastAsia" w:ascii="Times New Roman" w:hAnsi="Times New Roman" w:eastAsia="宋体" w:cs="Times New Roman"/>
          <w:color w:val="auto"/>
          <w:highlight w:val="none"/>
          <w:lang w:val="en-US" w:eastAsia="zh-CN"/>
        </w:rPr>
        <w:t xml:space="preserve">第六章 </w:t>
      </w:r>
      <w:r>
        <w:rPr>
          <w:rFonts w:ascii="Times New Roman" w:hAnsi="Times New Roman" w:eastAsia="宋体" w:cs="Times New Roman"/>
          <w:color w:val="auto"/>
          <w:highlight w:val="none"/>
        </w:rPr>
        <w:t>响应文件格式</w:t>
      </w:r>
      <w:bookmarkEnd w:id="206"/>
    </w:p>
    <w:p w14:paraId="3A415FA8">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352F4B3B">
      <w:pPr>
        <w:spacing w:line="480" w:lineRule="auto"/>
        <w:jc w:val="left"/>
        <w:rPr>
          <w:rFonts w:hint="eastAsia" w:ascii="宋体" w:hAnsi="宋体"/>
          <w:b/>
          <w:bCs/>
          <w:snapToGrid w:val="0"/>
          <w:color w:val="auto"/>
          <w:kern w:val="0"/>
          <w:sz w:val="36"/>
          <w:szCs w:val="36"/>
          <w:u w:val="single"/>
        </w:rPr>
      </w:pPr>
    </w:p>
    <w:p w14:paraId="3EC301F0">
      <w:pPr>
        <w:spacing w:line="480" w:lineRule="auto"/>
        <w:jc w:val="left"/>
        <w:rPr>
          <w:rFonts w:hint="default" w:ascii="宋体" w:hAnsi="宋体" w:eastAsiaTheme="minorEastAsia"/>
          <w:b/>
          <w:bCs/>
          <w:snapToGrid w:val="0"/>
          <w:color w:val="auto"/>
          <w:kern w:val="0"/>
          <w:sz w:val="36"/>
          <w:szCs w:val="36"/>
          <w:u w:val="single"/>
          <w:lang w:val="en-US" w:eastAsia="zh-CN"/>
        </w:rPr>
      </w:pPr>
      <w:r>
        <w:rPr>
          <w:rFonts w:hint="eastAsia" w:ascii="宋体" w:hAnsi="宋体"/>
          <w:b/>
          <w:bCs/>
          <w:snapToGrid w:val="0"/>
          <w:color w:val="auto"/>
          <w:kern w:val="0"/>
          <w:sz w:val="36"/>
          <w:szCs w:val="36"/>
          <w:u w:val="none"/>
          <w:lang w:val="en-US" w:eastAsia="zh-CN"/>
        </w:rPr>
        <w:t>供应商名称：</w:t>
      </w:r>
      <w:r>
        <w:rPr>
          <w:rFonts w:hint="eastAsia" w:ascii="宋体" w:hAnsi="宋体"/>
          <w:b/>
          <w:bCs/>
          <w:snapToGrid w:val="0"/>
          <w:color w:val="auto"/>
          <w:kern w:val="0"/>
          <w:sz w:val="36"/>
          <w:szCs w:val="36"/>
          <w:u w:val="single"/>
          <w:lang w:val="en-US" w:eastAsia="zh-CN"/>
        </w:rPr>
        <w:t xml:space="preserve">                          </w:t>
      </w:r>
    </w:p>
    <w:p w14:paraId="6ECA689F">
      <w:pPr>
        <w:spacing w:line="480" w:lineRule="auto"/>
        <w:jc w:val="left"/>
        <w:rPr>
          <w:rFonts w:hint="eastAsia" w:ascii="宋体" w:hAnsi="宋体"/>
          <w:b/>
          <w:bCs/>
          <w:snapToGrid w:val="0"/>
          <w:color w:val="auto"/>
          <w:kern w:val="0"/>
          <w:sz w:val="36"/>
          <w:szCs w:val="36"/>
          <w:u w:val="single"/>
        </w:rPr>
      </w:pPr>
    </w:p>
    <w:p w14:paraId="24C1F11B">
      <w:pPr>
        <w:spacing w:line="480" w:lineRule="auto"/>
        <w:jc w:val="left"/>
        <w:rPr>
          <w:rFonts w:hint="eastAsia" w:ascii="宋体" w:hAnsi="宋体"/>
          <w:b/>
          <w:bCs/>
          <w:snapToGrid w:val="0"/>
          <w:color w:val="auto"/>
          <w:kern w:val="0"/>
          <w:sz w:val="36"/>
          <w:szCs w:val="36"/>
          <w:u w:val="single"/>
        </w:rPr>
      </w:pPr>
    </w:p>
    <w:p w14:paraId="6801F651">
      <w:pPr>
        <w:spacing w:line="480" w:lineRule="auto"/>
        <w:jc w:val="left"/>
        <w:rPr>
          <w:rFonts w:hint="eastAsia" w:ascii="宋体" w:hAnsi="宋体"/>
          <w:b/>
          <w:bCs/>
          <w:snapToGrid w:val="0"/>
          <w:color w:val="auto"/>
          <w:kern w:val="0"/>
          <w:sz w:val="36"/>
          <w:szCs w:val="36"/>
          <w:u w:val="single"/>
        </w:rPr>
      </w:pPr>
    </w:p>
    <w:p w14:paraId="193C11B7">
      <w:pPr>
        <w:spacing w:line="480" w:lineRule="auto"/>
        <w:jc w:val="left"/>
        <w:rPr>
          <w:rFonts w:hint="eastAsia" w:ascii="宋体" w:hAnsi="宋体"/>
          <w:b/>
          <w:bCs/>
          <w:snapToGrid w:val="0"/>
          <w:color w:val="auto"/>
          <w:kern w:val="0"/>
          <w:sz w:val="36"/>
          <w:szCs w:val="36"/>
          <w:u w:val="single"/>
        </w:rPr>
      </w:pPr>
    </w:p>
    <w:p w14:paraId="1F4F6C37">
      <w:pPr>
        <w:spacing w:line="480" w:lineRule="auto"/>
        <w:jc w:val="left"/>
        <w:rPr>
          <w:rFonts w:hint="eastAsia" w:ascii="宋体" w:hAnsi="宋体"/>
          <w:b/>
          <w:bCs/>
          <w:snapToGrid w:val="0"/>
          <w:color w:val="auto"/>
          <w:kern w:val="0"/>
          <w:sz w:val="36"/>
          <w:szCs w:val="36"/>
          <w:u w:val="single"/>
        </w:rPr>
      </w:pPr>
    </w:p>
    <w:p w14:paraId="739A2B8B">
      <w:pPr>
        <w:spacing w:line="480" w:lineRule="auto"/>
        <w:jc w:val="center"/>
        <w:rPr>
          <w:rFonts w:ascii="宋体" w:hAnsi="宋体"/>
          <w:b/>
          <w:bCs/>
          <w:snapToGrid w:val="0"/>
          <w:color w:val="auto"/>
          <w:kern w:val="0"/>
          <w:sz w:val="36"/>
          <w:szCs w:val="36"/>
          <w:u w:val="single"/>
        </w:rPr>
      </w:pPr>
      <w:r>
        <w:rPr>
          <w:rFonts w:hint="eastAsia" w:ascii="宋体" w:hAnsi="宋体"/>
          <w:b/>
          <w:bCs/>
          <w:snapToGrid w:val="0"/>
          <w:color w:val="auto"/>
          <w:kern w:val="0"/>
          <w:sz w:val="36"/>
          <w:szCs w:val="36"/>
          <w:u w:val="single"/>
          <w:lang w:eastAsia="zh-CN"/>
        </w:rPr>
        <w:t>深圳安联尚璟府项目软装家具套装采购（2025~2026年度）</w:t>
      </w:r>
      <w:r>
        <w:rPr>
          <w:rFonts w:ascii="宋体" w:hAnsi="宋体"/>
          <w:b/>
          <w:bCs/>
          <w:snapToGrid w:val="0"/>
          <w:color w:val="auto"/>
          <w:kern w:val="0"/>
          <w:sz w:val="36"/>
          <w:szCs w:val="36"/>
          <w:u w:val="single"/>
        </w:rPr>
        <w:t>合同包响应文件</w:t>
      </w:r>
    </w:p>
    <w:p w14:paraId="58F1431E">
      <w:pPr>
        <w:pStyle w:val="2"/>
        <w:rPr>
          <w:rFonts w:ascii="宋体" w:hAnsi="宋体"/>
          <w:color w:val="auto"/>
        </w:rPr>
      </w:pPr>
    </w:p>
    <w:p w14:paraId="4E9C0967">
      <w:pPr>
        <w:spacing w:line="360" w:lineRule="auto"/>
        <w:ind w:firstLine="420"/>
        <w:jc w:val="center"/>
        <w:rPr>
          <w:rFonts w:ascii="宋体" w:hAnsi="宋体"/>
          <w:bCs/>
          <w:snapToGrid w:val="0"/>
          <w:color w:val="auto"/>
          <w:kern w:val="0"/>
          <w:sz w:val="28"/>
          <w:szCs w:val="28"/>
        </w:rPr>
      </w:pPr>
    </w:p>
    <w:p w14:paraId="27E5755A">
      <w:pPr>
        <w:spacing w:line="360" w:lineRule="auto"/>
        <w:jc w:val="center"/>
        <w:rPr>
          <w:rFonts w:ascii="宋体" w:hAnsi="宋体"/>
          <w:bCs/>
          <w:snapToGrid w:val="0"/>
          <w:color w:val="auto"/>
          <w:kern w:val="0"/>
          <w:sz w:val="28"/>
          <w:szCs w:val="28"/>
        </w:rPr>
      </w:pPr>
    </w:p>
    <w:p w14:paraId="1A653713">
      <w:pPr>
        <w:spacing w:line="360" w:lineRule="auto"/>
        <w:jc w:val="center"/>
        <w:rPr>
          <w:rFonts w:ascii="宋体" w:hAnsi="宋体"/>
          <w:bCs/>
          <w:snapToGrid w:val="0"/>
          <w:color w:val="auto"/>
          <w:kern w:val="0"/>
          <w:sz w:val="28"/>
          <w:szCs w:val="28"/>
        </w:rPr>
      </w:pPr>
    </w:p>
    <w:p w14:paraId="78100969">
      <w:pPr>
        <w:spacing w:line="360" w:lineRule="auto"/>
        <w:jc w:val="center"/>
        <w:rPr>
          <w:rFonts w:ascii="宋体" w:hAnsi="宋体"/>
          <w:bCs/>
          <w:snapToGrid w:val="0"/>
          <w:color w:val="auto"/>
          <w:kern w:val="0"/>
          <w:sz w:val="28"/>
          <w:szCs w:val="28"/>
        </w:rPr>
      </w:pPr>
    </w:p>
    <w:p w14:paraId="41D77D9C">
      <w:pPr>
        <w:spacing w:line="360" w:lineRule="auto"/>
        <w:jc w:val="center"/>
        <w:rPr>
          <w:rFonts w:ascii="宋体" w:hAnsi="宋体"/>
          <w:b/>
          <w:bCs/>
          <w:snapToGrid w:val="0"/>
          <w:color w:val="auto"/>
          <w:kern w:val="0"/>
          <w:sz w:val="30"/>
          <w:szCs w:val="30"/>
        </w:rPr>
      </w:pPr>
      <w:r>
        <w:rPr>
          <w:rFonts w:ascii="宋体" w:hAnsi="宋体"/>
          <w:b/>
          <w:bCs/>
          <w:snapToGrid w:val="0"/>
          <w:color w:val="auto"/>
          <w:kern w:val="0"/>
          <w:sz w:val="30"/>
          <w:szCs w:val="30"/>
        </w:rPr>
        <w:t>在</w:t>
      </w:r>
      <w:r>
        <w:rPr>
          <w:rFonts w:ascii="宋体" w:hAnsi="宋体"/>
          <w:b/>
          <w:bCs/>
          <w:snapToGrid w:val="0"/>
          <w:color w:val="auto"/>
          <w:kern w:val="0"/>
          <w:sz w:val="30"/>
          <w:szCs w:val="30"/>
          <w:u w:val="single"/>
        </w:rPr>
        <w:t xml:space="preserve"> 202</w:t>
      </w:r>
      <w:r>
        <w:rPr>
          <w:rFonts w:hint="eastAsia" w:ascii="宋体" w:hAnsi="宋体"/>
          <w:b/>
          <w:bCs/>
          <w:snapToGrid w:val="0"/>
          <w:color w:val="auto"/>
          <w:kern w:val="0"/>
          <w:sz w:val="30"/>
          <w:szCs w:val="30"/>
          <w:u w:val="single"/>
        </w:rPr>
        <w:t>5</w:t>
      </w:r>
      <w:r>
        <w:rPr>
          <w:rFonts w:ascii="宋体" w:hAnsi="宋体"/>
          <w:b/>
          <w:bCs/>
          <w:snapToGrid w:val="0"/>
          <w:color w:val="auto"/>
          <w:kern w:val="0"/>
          <w:sz w:val="30"/>
          <w:szCs w:val="30"/>
          <w:u w:val="single"/>
        </w:rPr>
        <w:t xml:space="preserve"> </w:t>
      </w:r>
      <w:r>
        <w:rPr>
          <w:rFonts w:ascii="宋体" w:hAnsi="宋体"/>
          <w:b/>
          <w:bCs/>
          <w:snapToGrid w:val="0"/>
          <w:color w:val="auto"/>
          <w:kern w:val="0"/>
          <w:sz w:val="30"/>
          <w:szCs w:val="30"/>
        </w:rPr>
        <w:t>年</w:t>
      </w:r>
      <w:r>
        <w:rPr>
          <w:rFonts w:hint="eastAsia" w:ascii="宋体" w:hAnsi="宋体"/>
          <w:b/>
          <w:bCs/>
          <w:snapToGrid w:val="0"/>
          <w:color w:val="auto"/>
          <w:kern w:val="0"/>
          <w:sz w:val="30"/>
          <w:szCs w:val="30"/>
          <w:u w:val="single"/>
          <w:lang w:val="en-US" w:eastAsia="zh-CN"/>
        </w:rPr>
        <w:t>12</w:t>
      </w:r>
      <w:r>
        <w:rPr>
          <w:rFonts w:ascii="宋体" w:hAnsi="宋体"/>
          <w:b/>
          <w:bCs/>
          <w:snapToGrid w:val="0"/>
          <w:color w:val="auto"/>
          <w:kern w:val="0"/>
          <w:sz w:val="30"/>
          <w:szCs w:val="30"/>
        </w:rPr>
        <w:t>月</w:t>
      </w:r>
      <w:r>
        <w:rPr>
          <w:rFonts w:hint="eastAsia" w:ascii="宋体" w:hAnsi="宋体"/>
          <w:b/>
          <w:bCs/>
          <w:snapToGrid w:val="0"/>
          <w:color w:val="auto"/>
          <w:kern w:val="0"/>
          <w:sz w:val="30"/>
          <w:szCs w:val="30"/>
          <w:u w:val="single"/>
          <w:lang w:val="en-US" w:eastAsia="zh-CN"/>
        </w:rPr>
        <w:t xml:space="preserve"> </w:t>
      </w:r>
      <w:r>
        <w:rPr>
          <w:rFonts w:hint="eastAsia" w:ascii="宋体" w:hAnsi="宋体"/>
          <w:b/>
          <w:bCs/>
          <w:snapToGrid w:val="0"/>
          <w:color w:val="auto"/>
          <w:kern w:val="0"/>
          <w:sz w:val="30"/>
          <w:szCs w:val="30"/>
          <w:u w:val="single"/>
          <w:lang w:val="en-US" w:eastAsia="zh-CN"/>
        </w:rPr>
        <w:t xml:space="preserve">3 </w:t>
      </w:r>
      <w:r>
        <w:rPr>
          <w:rFonts w:ascii="宋体" w:hAnsi="宋体"/>
          <w:b/>
          <w:bCs/>
          <w:snapToGrid w:val="0"/>
          <w:color w:val="auto"/>
          <w:kern w:val="0"/>
          <w:sz w:val="30"/>
          <w:szCs w:val="30"/>
        </w:rPr>
        <w:t>日</w:t>
      </w:r>
      <w:r>
        <w:rPr>
          <w:rFonts w:ascii="宋体" w:hAnsi="宋体"/>
          <w:b/>
          <w:bCs/>
          <w:snapToGrid w:val="0"/>
          <w:color w:val="auto"/>
          <w:kern w:val="0"/>
          <w:sz w:val="30"/>
          <w:szCs w:val="30"/>
          <w:u w:val="single"/>
        </w:rPr>
        <w:t xml:space="preserve"> </w:t>
      </w:r>
      <w:r>
        <w:rPr>
          <w:rFonts w:hint="eastAsia" w:ascii="宋体" w:hAnsi="宋体"/>
          <w:b/>
          <w:bCs/>
          <w:snapToGrid w:val="0"/>
          <w:color w:val="auto"/>
          <w:kern w:val="0"/>
          <w:sz w:val="30"/>
          <w:szCs w:val="30"/>
          <w:u w:val="single"/>
          <w:lang w:val="en-US" w:eastAsia="zh-CN"/>
        </w:rPr>
        <w:t>10</w:t>
      </w:r>
      <w:r>
        <w:rPr>
          <w:rFonts w:ascii="宋体" w:hAnsi="宋体"/>
          <w:b/>
          <w:bCs/>
          <w:snapToGrid w:val="0"/>
          <w:color w:val="auto"/>
          <w:kern w:val="0"/>
          <w:sz w:val="30"/>
          <w:szCs w:val="30"/>
          <w:u w:val="single"/>
        </w:rPr>
        <w:t xml:space="preserve"> </w:t>
      </w:r>
      <w:r>
        <w:rPr>
          <w:rFonts w:ascii="宋体" w:hAnsi="宋体"/>
          <w:b/>
          <w:bCs/>
          <w:snapToGrid w:val="0"/>
          <w:color w:val="auto"/>
          <w:kern w:val="0"/>
          <w:sz w:val="30"/>
          <w:szCs w:val="30"/>
        </w:rPr>
        <w:t>时</w:t>
      </w:r>
      <w:r>
        <w:rPr>
          <w:rFonts w:ascii="宋体" w:hAnsi="宋体"/>
          <w:b/>
          <w:bCs/>
          <w:snapToGrid w:val="0"/>
          <w:color w:val="auto"/>
          <w:kern w:val="0"/>
          <w:sz w:val="30"/>
          <w:szCs w:val="30"/>
          <w:u w:val="single"/>
        </w:rPr>
        <w:t xml:space="preserve"> 00 </w:t>
      </w:r>
      <w:r>
        <w:rPr>
          <w:rFonts w:ascii="宋体" w:hAnsi="宋体"/>
          <w:b/>
          <w:bCs/>
          <w:snapToGrid w:val="0"/>
          <w:color w:val="auto"/>
          <w:kern w:val="0"/>
          <w:sz w:val="30"/>
          <w:szCs w:val="30"/>
        </w:rPr>
        <w:t>分（递交响应文件的截止时间）</w:t>
      </w:r>
    </w:p>
    <w:p w14:paraId="1FDA03C1">
      <w:pPr>
        <w:spacing w:line="360" w:lineRule="auto"/>
        <w:jc w:val="center"/>
        <w:rPr>
          <w:rFonts w:ascii="宋体" w:hAnsi="宋体"/>
          <w:b/>
          <w:bCs/>
          <w:snapToGrid w:val="0"/>
          <w:color w:val="auto"/>
          <w:kern w:val="0"/>
          <w:sz w:val="30"/>
          <w:szCs w:val="30"/>
        </w:rPr>
      </w:pPr>
      <w:r>
        <w:rPr>
          <w:rFonts w:ascii="宋体" w:hAnsi="宋体"/>
          <w:b/>
          <w:bCs/>
          <w:snapToGrid w:val="0"/>
          <w:color w:val="auto"/>
          <w:kern w:val="0"/>
          <w:sz w:val="30"/>
          <w:szCs w:val="30"/>
        </w:rPr>
        <w:t>前不得开启</w:t>
      </w:r>
    </w:p>
    <w:p w14:paraId="5178108A">
      <w:pPr>
        <w:spacing w:line="360" w:lineRule="auto"/>
        <w:jc w:val="center"/>
        <w:rPr>
          <w:rFonts w:ascii="宋体" w:hAnsi="宋体"/>
          <w:b/>
          <w:bCs/>
          <w:snapToGrid w:val="0"/>
          <w:color w:val="auto"/>
          <w:kern w:val="0"/>
          <w:sz w:val="30"/>
          <w:szCs w:val="30"/>
        </w:rPr>
      </w:pPr>
    </w:p>
    <w:p w14:paraId="5C97661D">
      <w:pPr>
        <w:spacing w:line="360" w:lineRule="auto"/>
        <w:jc w:val="center"/>
        <w:rPr>
          <w:rFonts w:ascii="宋体" w:hAnsi="宋体"/>
          <w:b/>
          <w:bCs/>
          <w:snapToGrid w:val="0"/>
          <w:color w:val="auto"/>
          <w:kern w:val="0"/>
          <w:sz w:val="30"/>
          <w:szCs w:val="30"/>
        </w:rPr>
      </w:pPr>
    </w:p>
    <w:p w14:paraId="7239C6AA">
      <w:pPr>
        <w:spacing w:line="360" w:lineRule="auto"/>
        <w:jc w:val="center"/>
        <w:rPr>
          <w:rFonts w:ascii="宋体" w:hAnsi="宋体"/>
          <w:b/>
          <w:bCs/>
          <w:snapToGrid w:val="0"/>
          <w:color w:val="auto"/>
          <w:kern w:val="0"/>
          <w:sz w:val="30"/>
          <w:szCs w:val="30"/>
        </w:rPr>
      </w:pPr>
    </w:p>
    <w:p w14:paraId="4C68F71C">
      <w:pPr>
        <w:spacing w:line="360" w:lineRule="auto"/>
        <w:jc w:val="center"/>
        <w:rPr>
          <w:rFonts w:ascii="宋体" w:hAnsi="宋体"/>
          <w:b/>
          <w:bCs/>
          <w:snapToGrid w:val="0"/>
          <w:color w:val="auto"/>
          <w:kern w:val="0"/>
          <w:sz w:val="30"/>
          <w:szCs w:val="30"/>
        </w:rPr>
      </w:pPr>
    </w:p>
    <w:p w14:paraId="66296B23">
      <w:pPr>
        <w:spacing w:line="360" w:lineRule="auto"/>
        <w:jc w:val="center"/>
        <w:rPr>
          <w:rFonts w:ascii="宋体" w:hAnsi="宋体"/>
          <w:b/>
          <w:bCs/>
          <w:snapToGrid w:val="0"/>
          <w:color w:val="auto"/>
          <w:kern w:val="0"/>
          <w:sz w:val="30"/>
          <w:szCs w:val="30"/>
        </w:rPr>
      </w:pPr>
    </w:p>
    <w:p w14:paraId="2F3BD9B7">
      <w:pPr>
        <w:spacing w:line="360" w:lineRule="auto"/>
        <w:jc w:val="center"/>
        <w:rPr>
          <w:rFonts w:ascii="宋体" w:hAnsi="宋体"/>
          <w:b/>
          <w:bCs/>
          <w:snapToGrid w:val="0"/>
          <w:color w:val="auto"/>
          <w:kern w:val="0"/>
          <w:sz w:val="30"/>
          <w:szCs w:val="30"/>
        </w:rPr>
      </w:pPr>
    </w:p>
    <w:p w14:paraId="32414AC2">
      <w:pPr>
        <w:spacing w:line="440" w:lineRule="exact"/>
        <w:jc w:val="right"/>
        <w:rPr>
          <w:rFonts w:hint="eastAsia" w:ascii="黑体" w:hAnsi="黑体" w:eastAsia="黑体" w:cs="黑体"/>
          <w:color w:val="auto"/>
          <w:sz w:val="28"/>
          <w:szCs w:val="28"/>
          <w:highlight w:val="none"/>
          <w:u w:val="none"/>
          <w:lang w:val="en-US" w:eastAsia="zh-CN"/>
        </w:rPr>
      </w:pPr>
    </w:p>
    <w:p w14:paraId="72265B2E">
      <w:pPr>
        <w:spacing w:line="440" w:lineRule="exact"/>
        <w:jc w:val="center"/>
        <w:rPr>
          <w:rFonts w:ascii="Times New Roman" w:hAnsi="Times New Roman" w:eastAsia="黑体" w:cs="Times New Roman"/>
          <w:color w:val="auto"/>
          <w:sz w:val="24"/>
          <w:highlight w:val="none"/>
        </w:rPr>
      </w:pPr>
      <w:r>
        <w:rPr>
          <w:rFonts w:hint="eastAsia" w:ascii="黑体" w:hAnsi="黑体" w:eastAsia="黑体" w:cs="黑体"/>
          <w:color w:val="auto"/>
          <w:sz w:val="28"/>
          <w:szCs w:val="28"/>
          <w:highlight w:val="none"/>
          <w:u w:val="single"/>
          <w:lang w:eastAsia="zh-CN"/>
        </w:rPr>
        <w:t>深圳安联尚璟府项目软装家具套装采购（2025~2026年度）</w:t>
      </w:r>
      <w:r>
        <w:rPr>
          <w:rFonts w:ascii="Times New Roman" w:hAnsi="Times New Roman" w:eastAsia="黑体" w:cs="Times New Roman"/>
          <w:color w:val="auto"/>
          <w:sz w:val="28"/>
          <w:szCs w:val="28"/>
          <w:highlight w:val="none"/>
        </w:rPr>
        <w:t>合同包询比</w:t>
      </w:r>
    </w:p>
    <w:p w14:paraId="39215C15">
      <w:pPr>
        <w:spacing w:line="440" w:lineRule="exact"/>
        <w:rPr>
          <w:rFonts w:ascii="Times New Roman" w:hAnsi="Times New Roman" w:eastAsia="黑体" w:cs="Times New Roman"/>
          <w:color w:val="auto"/>
          <w:sz w:val="20"/>
          <w:szCs w:val="20"/>
          <w:highlight w:val="none"/>
        </w:rPr>
      </w:pPr>
      <w:r>
        <w:rPr>
          <w:rFonts w:ascii="Times New Roman" w:hAnsi="Times New Roman" w:eastAsia="黑体" w:cs="Times New Roman"/>
          <w:color w:val="auto"/>
          <w:sz w:val="20"/>
          <w:szCs w:val="20"/>
          <w:highlight w:val="none"/>
        </w:rPr>
        <w:t xml:space="preserve"> </w:t>
      </w:r>
    </w:p>
    <w:p w14:paraId="75831901">
      <w:pPr>
        <w:spacing w:line="440" w:lineRule="exact"/>
        <w:rPr>
          <w:rFonts w:ascii="Times New Roman" w:hAnsi="Times New Roman" w:eastAsia="黑体" w:cs="Times New Roman"/>
          <w:color w:val="auto"/>
          <w:sz w:val="40"/>
          <w:szCs w:val="40"/>
          <w:highlight w:val="none"/>
        </w:rPr>
      </w:pPr>
    </w:p>
    <w:p w14:paraId="60500C15">
      <w:pPr>
        <w:spacing w:line="440" w:lineRule="exact"/>
        <w:jc w:val="center"/>
        <w:rPr>
          <w:rFonts w:ascii="Times New Roman" w:hAnsi="Times New Roman" w:eastAsia="黑体" w:cs="Times New Roman"/>
          <w:color w:val="auto"/>
          <w:sz w:val="40"/>
          <w:szCs w:val="40"/>
          <w:highlight w:val="none"/>
        </w:rPr>
      </w:pPr>
    </w:p>
    <w:p w14:paraId="03B9DA28">
      <w:pPr>
        <w:spacing w:line="440" w:lineRule="exact"/>
        <w:jc w:val="center"/>
        <w:rPr>
          <w:rFonts w:ascii="Times New Roman" w:hAnsi="Times New Roman" w:eastAsia="黑体" w:cs="Times New Roman"/>
          <w:color w:val="auto"/>
          <w:sz w:val="40"/>
          <w:szCs w:val="40"/>
          <w:highlight w:val="none"/>
        </w:rPr>
      </w:pPr>
    </w:p>
    <w:p w14:paraId="3818A4AA">
      <w:pPr>
        <w:spacing w:line="440" w:lineRule="exact"/>
        <w:jc w:val="center"/>
        <w:rPr>
          <w:rFonts w:ascii="Times New Roman" w:hAnsi="Times New Roman" w:eastAsia="黑体" w:cs="Times New Roman"/>
          <w:color w:val="auto"/>
          <w:sz w:val="40"/>
          <w:szCs w:val="40"/>
          <w:highlight w:val="none"/>
        </w:rPr>
      </w:pPr>
    </w:p>
    <w:p w14:paraId="6D541526">
      <w:pPr>
        <w:jc w:val="center"/>
        <w:rPr>
          <w:rFonts w:ascii="Times New Roman" w:hAnsi="Times New Roman" w:eastAsia="黑体" w:cs="Times New Roman"/>
          <w:color w:val="auto"/>
          <w:sz w:val="50"/>
          <w:szCs w:val="50"/>
          <w:highlight w:val="none"/>
        </w:rPr>
      </w:pPr>
      <w:bookmarkStart w:id="207" w:name="_Toc1914_WPSOffice_Level1"/>
      <w:bookmarkStart w:id="208" w:name="_Toc17394_WPSOffice_Level1"/>
      <w:bookmarkStart w:id="209" w:name="_Toc27552_WPSOffice_Level1"/>
      <w:bookmarkStart w:id="210" w:name="_Toc1456_WPSOffice_Level1"/>
      <w:bookmarkStart w:id="211" w:name="_Toc14496_WPSOffice_Level1"/>
      <w:r>
        <w:rPr>
          <w:rFonts w:ascii="Times New Roman" w:hAnsi="Times New Roman" w:eastAsia="黑体" w:cs="Times New Roman"/>
          <w:color w:val="auto"/>
          <w:sz w:val="50"/>
          <w:szCs w:val="50"/>
          <w:highlight w:val="none"/>
        </w:rPr>
        <w:t>响  应  文  件</w:t>
      </w:r>
      <w:bookmarkEnd w:id="207"/>
      <w:bookmarkEnd w:id="208"/>
      <w:bookmarkEnd w:id="209"/>
      <w:bookmarkEnd w:id="210"/>
      <w:bookmarkEnd w:id="211"/>
    </w:p>
    <w:p w14:paraId="410C1F75">
      <w:pPr>
        <w:spacing w:line="440" w:lineRule="exact"/>
        <w:rPr>
          <w:rFonts w:ascii="Times New Roman" w:hAnsi="Times New Roman" w:eastAsia="黑体" w:cs="Times New Roman"/>
          <w:color w:val="auto"/>
          <w:sz w:val="20"/>
          <w:szCs w:val="20"/>
          <w:highlight w:val="none"/>
        </w:rPr>
      </w:pPr>
    </w:p>
    <w:p w14:paraId="724456C1">
      <w:pPr>
        <w:spacing w:line="440" w:lineRule="exact"/>
        <w:rPr>
          <w:rFonts w:ascii="Times New Roman" w:hAnsi="Times New Roman" w:eastAsia="黑体" w:cs="Times New Roman"/>
          <w:color w:val="auto"/>
          <w:sz w:val="20"/>
          <w:szCs w:val="20"/>
          <w:highlight w:val="none"/>
        </w:rPr>
      </w:pPr>
    </w:p>
    <w:p w14:paraId="15CF5B68">
      <w:pPr>
        <w:spacing w:line="440" w:lineRule="exact"/>
        <w:rPr>
          <w:rFonts w:ascii="Times New Roman" w:hAnsi="Times New Roman" w:eastAsia="黑体" w:cs="Times New Roman"/>
          <w:color w:val="auto"/>
          <w:sz w:val="20"/>
          <w:szCs w:val="20"/>
          <w:highlight w:val="none"/>
        </w:rPr>
      </w:pPr>
    </w:p>
    <w:p w14:paraId="3AF4C65C">
      <w:pPr>
        <w:spacing w:line="440" w:lineRule="exact"/>
        <w:rPr>
          <w:rFonts w:ascii="Times New Roman" w:hAnsi="Times New Roman" w:eastAsia="黑体" w:cs="Times New Roman"/>
          <w:color w:val="auto"/>
          <w:sz w:val="20"/>
          <w:szCs w:val="20"/>
          <w:highlight w:val="none"/>
        </w:rPr>
      </w:pPr>
    </w:p>
    <w:p w14:paraId="7ADA2A25">
      <w:pPr>
        <w:spacing w:line="440" w:lineRule="exact"/>
        <w:rPr>
          <w:rFonts w:ascii="Times New Roman" w:hAnsi="Times New Roman" w:eastAsia="黑体" w:cs="Times New Roman"/>
          <w:color w:val="auto"/>
          <w:sz w:val="20"/>
          <w:szCs w:val="20"/>
          <w:highlight w:val="none"/>
        </w:rPr>
      </w:pPr>
    </w:p>
    <w:p w14:paraId="112FB63E">
      <w:pPr>
        <w:spacing w:line="440" w:lineRule="exact"/>
        <w:rPr>
          <w:rFonts w:ascii="Times New Roman" w:hAnsi="Times New Roman" w:eastAsia="黑体" w:cs="Times New Roman"/>
          <w:color w:val="auto"/>
          <w:sz w:val="20"/>
          <w:szCs w:val="20"/>
          <w:highlight w:val="none"/>
        </w:rPr>
      </w:pPr>
    </w:p>
    <w:p w14:paraId="741CBA16">
      <w:pPr>
        <w:spacing w:line="440" w:lineRule="exact"/>
        <w:rPr>
          <w:rFonts w:ascii="Times New Roman" w:hAnsi="Times New Roman" w:eastAsia="黑体" w:cs="Times New Roman"/>
          <w:color w:val="auto"/>
          <w:sz w:val="20"/>
          <w:szCs w:val="20"/>
          <w:highlight w:val="none"/>
        </w:rPr>
      </w:pPr>
    </w:p>
    <w:p w14:paraId="66D621FE">
      <w:pPr>
        <w:spacing w:line="440" w:lineRule="exact"/>
        <w:rPr>
          <w:rFonts w:ascii="Times New Roman" w:hAnsi="Times New Roman" w:eastAsia="黑体" w:cs="Times New Roman"/>
          <w:color w:val="auto"/>
          <w:sz w:val="20"/>
          <w:szCs w:val="20"/>
          <w:highlight w:val="none"/>
        </w:rPr>
      </w:pPr>
    </w:p>
    <w:p w14:paraId="4511CEDC">
      <w:pPr>
        <w:spacing w:line="440" w:lineRule="exact"/>
        <w:rPr>
          <w:rFonts w:ascii="Times New Roman" w:hAnsi="Times New Roman" w:eastAsia="黑体" w:cs="Times New Roman"/>
          <w:color w:val="auto"/>
          <w:sz w:val="20"/>
          <w:szCs w:val="20"/>
          <w:highlight w:val="none"/>
        </w:rPr>
      </w:pPr>
    </w:p>
    <w:p w14:paraId="3CB7E845">
      <w:pPr>
        <w:spacing w:line="440" w:lineRule="exact"/>
        <w:rPr>
          <w:rFonts w:ascii="Times New Roman" w:hAnsi="Times New Roman" w:eastAsia="黑体" w:cs="Times New Roman"/>
          <w:color w:val="auto"/>
          <w:sz w:val="20"/>
          <w:szCs w:val="20"/>
          <w:highlight w:val="none"/>
        </w:rPr>
      </w:pPr>
    </w:p>
    <w:p w14:paraId="6C72C5EF">
      <w:pPr>
        <w:spacing w:line="440" w:lineRule="exact"/>
        <w:rPr>
          <w:rFonts w:ascii="Times New Roman" w:hAnsi="Times New Roman" w:eastAsia="黑体" w:cs="Times New Roman"/>
          <w:color w:val="auto"/>
          <w:sz w:val="20"/>
          <w:szCs w:val="20"/>
          <w:highlight w:val="none"/>
        </w:rPr>
      </w:pPr>
    </w:p>
    <w:p w14:paraId="267A11A8">
      <w:pPr>
        <w:spacing w:line="440" w:lineRule="exact"/>
        <w:rPr>
          <w:rFonts w:ascii="Times New Roman" w:hAnsi="Times New Roman" w:eastAsia="黑体" w:cs="Times New Roman"/>
          <w:color w:val="auto"/>
          <w:sz w:val="20"/>
          <w:szCs w:val="20"/>
          <w:highlight w:val="none"/>
        </w:rPr>
      </w:pPr>
    </w:p>
    <w:p w14:paraId="5E5EE447">
      <w:pPr>
        <w:spacing w:line="440" w:lineRule="exact"/>
        <w:jc w:val="center"/>
        <w:rPr>
          <w:rFonts w:ascii="Times New Roman" w:hAnsi="Times New Roman" w:eastAsia="黑体" w:cs="Times New Roman"/>
          <w:color w:val="auto"/>
          <w:sz w:val="28"/>
          <w:szCs w:val="28"/>
          <w:highlight w:val="none"/>
        </w:rPr>
      </w:pPr>
      <w:bookmarkStart w:id="212" w:name="_Toc5520_WPSOffice_Level2"/>
      <w:bookmarkStart w:id="213"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(全称、盖单位章)</w:t>
      </w:r>
      <w:bookmarkEnd w:id="212"/>
      <w:bookmarkEnd w:id="213"/>
      <w:r>
        <w:rPr>
          <w:rFonts w:ascii="Times New Roman" w:hAnsi="Times New Roman" w:eastAsia="黑体" w:cs="Times New Roman"/>
          <w:color w:val="auto"/>
          <w:sz w:val="28"/>
          <w:szCs w:val="28"/>
          <w:highlight w:val="none"/>
          <w:u w:val="single"/>
        </w:rPr>
        <w:t xml:space="preserve"> </w:t>
      </w:r>
    </w:p>
    <w:p w14:paraId="631A5FCC">
      <w:pPr>
        <w:spacing w:line="440" w:lineRule="exact"/>
        <w:ind w:firstLine="2158" w:firstLineChars="771"/>
        <w:rPr>
          <w:rFonts w:ascii="Times New Roman" w:hAnsi="Times New Roman" w:eastAsia="黑体" w:cs="Times New Roman"/>
          <w:color w:val="auto"/>
          <w:sz w:val="28"/>
          <w:szCs w:val="28"/>
          <w:highlight w:val="none"/>
        </w:rPr>
      </w:pPr>
    </w:p>
    <w:p w14:paraId="10505424">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214" w:name="_Toc31577_WPSOffice_Level2"/>
      <w:bookmarkStart w:id="215" w:name="_Toc20076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214"/>
      <w:bookmarkEnd w:id="215"/>
    </w:p>
    <w:p w14:paraId="3F313743">
      <w:pPr>
        <w:spacing w:line="440" w:lineRule="exact"/>
        <w:rPr>
          <w:rFonts w:ascii="Times New Roman" w:hAnsi="Times New Roman" w:eastAsia="黑体" w:cs="Times New Roman"/>
          <w:color w:val="auto"/>
          <w:sz w:val="28"/>
          <w:szCs w:val="28"/>
          <w:highlight w:val="none"/>
        </w:rPr>
      </w:pPr>
    </w:p>
    <w:p w14:paraId="5E32C0DA">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216" w:name="_Toc21974_WPSOffice_Level2"/>
      <w:bookmarkStart w:id="217" w:name="_Toc22351_WPSOffice_Level2"/>
      <w:r>
        <w:rPr>
          <w:rFonts w:ascii="Times New Roman" w:hAnsi="Times New Roman" w:eastAsia="黑体" w:cs="Times New Roman"/>
          <w:color w:val="auto"/>
          <w:sz w:val="28"/>
          <w:szCs w:val="28"/>
          <w:highlight w:val="none"/>
        </w:rPr>
        <w:t>目     录</w:t>
      </w:r>
      <w:bookmarkEnd w:id="216"/>
      <w:bookmarkEnd w:id="217"/>
    </w:p>
    <w:p w14:paraId="5EFE8FA6">
      <w:pPr>
        <w:spacing w:line="440" w:lineRule="exact"/>
        <w:rPr>
          <w:rFonts w:ascii="Times New Roman" w:hAnsi="Times New Roman" w:eastAsia="黑体" w:cs="Times New Roman"/>
          <w:color w:val="auto"/>
          <w:sz w:val="20"/>
          <w:szCs w:val="20"/>
          <w:highlight w:val="none"/>
        </w:rPr>
      </w:pPr>
    </w:p>
    <w:p w14:paraId="5404E49A">
      <w:pPr>
        <w:spacing w:line="440" w:lineRule="exact"/>
        <w:ind w:left="1619" w:leftChars="771"/>
        <w:rPr>
          <w:rFonts w:ascii="Times New Roman" w:hAnsi="Times New Roman" w:eastAsia="黑体" w:cs="Times New Roman"/>
          <w:color w:val="auto"/>
          <w:sz w:val="24"/>
          <w:highlight w:val="none"/>
        </w:rPr>
      </w:pPr>
      <w:bookmarkStart w:id="218" w:name="_Toc6353_WPSOffice_Level1"/>
      <w:bookmarkStart w:id="219" w:name="_Toc27094_WPSOffice_Level1"/>
      <w:bookmarkStart w:id="220" w:name="_Toc30529_WPSOffice_Level1"/>
      <w:bookmarkStart w:id="221" w:name="_Toc23368_WPSOffice_Level1"/>
      <w:bookmarkStart w:id="222" w:name="_Toc11424_WPSOffice_Level1"/>
      <w:bookmarkStart w:id="223" w:name="_Toc12670_WPSOffice_Level1"/>
      <w:r>
        <w:rPr>
          <w:rFonts w:ascii="Times New Roman" w:hAnsi="Times New Roman" w:eastAsia="黑体" w:cs="Times New Roman"/>
          <w:color w:val="auto"/>
          <w:sz w:val="24"/>
          <w:highlight w:val="none"/>
        </w:rPr>
        <w:t>一、报价函</w:t>
      </w:r>
      <w:bookmarkEnd w:id="218"/>
      <w:bookmarkEnd w:id="219"/>
      <w:bookmarkEnd w:id="220"/>
      <w:bookmarkEnd w:id="221"/>
      <w:bookmarkEnd w:id="222"/>
    </w:p>
    <w:p w14:paraId="6F3DBDB4">
      <w:pPr>
        <w:spacing w:line="440" w:lineRule="exact"/>
        <w:ind w:left="1619" w:leftChars="771"/>
        <w:rPr>
          <w:rFonts w:ascii="Times New Roman" w:hAnsi="Times New Roman" w:eastAsia="黑体" w:cs="Times New Roman"/>
          <w:color w:val="auto"/>
          <w:sz w:val="24"/>
          <w:highlight w:val="none"/>
        </w:rPr>
      </w:pPr>
      <w:bookmarkStart w:id="224" w:name="_Toc31927_WPSOffice_Level1"/>
      <w:bookmarkStart w:id="225" w:name="_Toc32729_WPSOffice_Level1"/>
      <w:bookmarkStart w:id="226" w:name="_Toc5317_WPSOffice_Level1"/>
      <w:bookmarkStart w:id="227" w:name="_Toc21229_WPSOffice_Level1"/>
      <w:bookmarkStart w:id="228" w:name="_Toc25557_WPSOffice_Level1"/>
      <w:r>
        <w:rPr>
          <w:rFonts w:ascii="Times New Roman" w:hAnsi="Times New Roman" w:eastAsia="黑体" w:cs="Times New Roman"/>
          <w:color w:val="auto"/>
          <w:sz w:val="24"/>
          <w:highlight w:val="none"/>
        </w:rPr>
        <w:t>二、法定代表人身份证明及授权委托书</w:t>
      </w:r>
      <w:bookmarkEnd w:id="224"/>
      <w:bookmarkEnd w:id="225"/>
      <w:bookmarkEnd w:id="226"/>
      <w:bookmarkEnd w:id="227"/>
      <w:bookmarkEnd w:id="228"/>
    </w:p>
    <w:p w14:paraId="70AA2DDD">
      <w:pPr>
        <w:spacing w:line="440" w:lineRule="exact"/>
        <w:ind w:left="1619" w:leftChars="771"/>
        <w:rPr>
          <w:rFonts w:ascii="Times New Roman" w:hAnsi="Times New Roman" w:eastAsia="黑体" w:cs="Times New Roman"/>
          <w:color w:val="auto"/>
          <w:sz w:val="24"/>
          <w:highlight w:val="none"/>
        </w:rPr>
      </w:pPr>
      <w:bookmarkStart w:id="229" w:name="_Toc25965_WPSOffice_Level1"/>
      <w:bookmarkStart w:id="230" w:name="_Toc4728_WPSOffice_Level1"/>
      <w:bookmarkStart w:id="231" w:name="_Toc23356_WPSOffice_Level1"/>
      <w:bookmarkStart w:id="232" w:name="_Toc29085_WPSOffice_Level1"/>
      <w:bookmarkStart w:id="233" w:name="_Toc8372_WPSOffice_Level1"/>
      <w:r>
        <w:rPr>
          <w:rFonts w:hint="eastAsia" w:ascii="Times New Roman" w:hAnsi="Times New Roman" w:eastAsia="黑体" w:cs="Times New Roman"/>
          <w:color w:val="auto"/>
          <w:sz w:val="24"/>
          <w:highlight w:val="none"/>
        </w:rPr>
        <w:t>三</w:t>
      </w:r>
      <w:r>
        <w:rPr>
          <w:rFonts w:ascii="Times New Roman" w:hAnsi="Times New Roman" w:eastAsia="黑体" w:cs="Times New Roman"/>
          <w:color w:val="auto"/>
          <w:sz w:val="24"/>
          <w:highlight w:val="none"/>
        </w:rPr>
        <w:t>、已标价</w:t>
      </w:r>
      <w:r>
        <w:rPr>
          <w:rFonts w:hint="eastAsia" w:ascii="Times New Roman" w:hAnsi="Times New Roman" w:eastAsia="黑体" w:cs="Times New Roman"/>
          <w:color w:val="auto"/>
          <w:sz w:val="24"/>
          <w:highlight w:val="none"/>
        </w:rPr>
        <w:t>的</w:t>
      </w:r>
      <w:bookmarkEnd w:id="229"/>
      <w:bookmarkEnd w:id="230"/>
      <w:bookmarkEnd w:id="231"/>
      <w:bookmarkEnd w:id="232"/>
      <w:r>
        <w:rPr>
          <w:rFonts w:hint="eastAsia" w:ascii="Times New Roman" w:hAnsi="Times New Roman" w:eastAsia="黑体" w:cs="Times New Roman"/>
          <w:color w:val="auto"/>
          <w:sz w:val="24"/>
          <w:highlight w:val="none"/>
        </w:rPr>
        <w:t>报价清单</w:t>
      </w:r>
      <w:bookmarkEnd w:id="233"/>
    </w:p>
    <w:p w14:paraId="2D3CBE2A">
      <w:pPr>
        <w:spacing w:line="440" w:lineRule="exact"/>
        <w:ind w:left="1619" w:leftChars="771"/>
        <w:rPr>
          <w:rFonts w:ascii="Times New Roman" w:hAnsi="Times New Roman" w:eastAsia="黑体" w:cs="Times New Roman"/>
          <w:color w:val="auto"/>
          <w:sz w:val="24"/>
          <w:highlight w:val="none"/>
        </w:rPr>
      </w:pPr>
      <w:bookmarkStart w:id="234" w:name="_Toc18964_WPSOffice_Level1"/>
      <w:bookmarkStart w:id="235" w:name="_Toc10608_WPSOffice_Level1"/>
      <w:bookmarkStart w:id="236" w:name="_Toc23744_WPSOffice_Level1"/>
      <w:bookmarkStart w:id="237" w:name="_Toc7453_WPSOffice_Level1"/>
      <w:bookmarkStart w:id="238" w:name="_Toc20214_WPSOffice_Level1"/>
      <w:r>
        <w:rPr>
          <w:rFonts w:hint="eastAsia" w:ascii="Times New Roman" w:hAnsi="Times New Roman" w:eastAsia="黑体" w:cs="Times New Roman"/>
          <w:color w:val="auto"/>
          <w:sz w:val="24"/>
          <w:highlight w:val="none"/>
        </w:rPr>
        <w:t>四</w:t>
      </w:r>
      <w:r>
        <w:rPr>
          <w:rFonts w:ascii="Times New Roman" w:hAnsi="Times New Roman" w:eastAsia="黑体" w:cs="Times New Roman"/>
          <w:color w:val="auto"/>
          <w:sz w:val="24"/>
          <w:highlight w:val="none"/>
        </w:rPr>
        <w:t>、</w:t>
      </w:r>
      <w:bookmarkEnd w:id="234"/>
      <w:bookmarkEnd w:id="235"/>
      <w:bookmarkEnd w:id="236"/>
      <w:bookmarkEnd w:id="237"/>
      <w:r>
        <w:rPr>
          <w:rFonts w:hint="eastAsia" w:ascii="Times New Roman" w:hAnsi="Times New Roman" w:eastAsia="黑体" w:cs="Times New Roman"/>
          <w:color w:val="auto"/>
          <w:sz w:val="24"/>
          <w:highlight w:val="none"/>
        </w:rPr>
        <w:t>供应商基本情况</w:t>
      </w:r>
      <w:bookmarkEnd w:id="238"/>
    </w:p>
    <w:p w14:paraId="36274214">
      <w:pPr>
        <w:spacing w:line="440" w:lineRule="exact"/>
        <w:ind w:left="1619" w:leftChars="771"/>
        <w:rPr>
          <w:rFonts w:ascii="Times New Roman" w:hAnsi="Times New Roman" w:eastAsia="黑体" w:cs="Times New Roman"/>
          <w:color w:val="auto"/>
          <w:sz w:val="24"/>
          <w:highlight w:val="none"/>
        </w:rPr>
      </w:pPr>
      <w:bookmarkStart w:id="239" w:name="_Toc23751_WPSOffice_Level1"/>
      <w:bookmarkStart w:id="240" w:name="_Toc1578_WPSOffice_Level1"/>
      <w:bookmarkStart w:id="241" w:name="_Toc19601_WPSOffice_Level1"/>
      <w:bookmarkStart w:id="242" w:name="_Toc9006_WPSOffice_Level1"/>
      <w:bookmarkStart w:id="243" w:name="_Toc9536_WPSOffice_Level1"/>
      <w:r>
        <w:rPr>
          <w:rFonts w:hint="eastAsia" w:ascii="Times New Roman" w:hAnsi="Times New Roman" w:eastAsia="黑体" w:cs="Times New Roman"/>
          <w:color w:val="auto"/>
          <w:sz w:val="24"/>
          <w:highlight w:val="none"/>
        </w:rPr>
        <w:t>五、</w:t>
      </w:r>
      <w:bookmarkEnd w:id="239"/>
      <w:bookmarkEnd w:id="240"/>
      <w:bookmarkEnd w:id="241"/>
      <w:bookmarkEnd w:id="242"/>
      <w:r>
        <w:rPr>
          <w:rFonts w:hint="eastAsia" w:ascii="Times New Roman" w:hAnsi="Times New Roman" w:eastAsia="黑体" w:cs="Times New Roman"/>
          <w:color w:val="auto"/>
          <w:sz w:val="24"/>
          <w:highlight w:val="none"/>
        </w:rPr>
        <w:t>近年类似业绩情况</w:t>
      </w:r>
      <w:bookmarkEnd w:id="243"/>
    </w:p>
    <w:p w14:paraId="25B9137A">
      <w:pPr>
        <w:spacing w:line="440" w:lineRule="exact"/>
        <w:ind w:left="1619" w:leftChars="771"/>
        <w:rPr>
          <w:rFonts w:ascii="Times New Roman" w:hAnsi="Times New Roman" w:eastAsia="黑体" w:cs="Times New Roman"/>
          <w:color w:val="auto"/>
          <w:sz w:val="24"/>
          <w:highlight w:val="none"/>
        </w:rPr>
      </w:pPr>
      <w:bookmarkStart w:id="244" w:name="_Toc24082_WPSOffice_Level1"/>
      <w:bookmarkStart w:id="245" w:name="_Toc31314_WPSOffice_Level1"/>
      <w:bookmarkStart w:id="246" w:name="_Toc4130_WPSOffice_Level1"/>
      <w:bookmarkStart w:id="247" w:name="_Toc24262_WPSOffice_Level1"/>
      <w:bookmarkStart w:id="248" w:name="_Toc12459_WPSOffice_Level1"/>
      <w:r>
        <w:rPr>
          <w:rFonts w:hint="eastAsia" w:ascii="Times New Roman" w:hAnsi="Times New Roman" w:eastAsia="黑体" w:cs="Times New Roman"/>
          <w:color w:val="auto"/>
          <w:sz w:val="24"/>
          <w:highlight w:val="none"/>
        </w:rPr>
        <w:t>六</w:t>
      </w:r>
      <w:r>
        <w:rPr>
          <w:rFonts w:ascii="Times New Roman" w:hAnsi="Times New Roman" w:eastAsia="黑体" w:cs="Times New Roman"/>
          <w:color w:val="auto"/>
          <w:sz w:val="24"/>
          <w:highlight w:val="none"/>
        </w:rPr>
        <w:t>、</w:t>
      </w:r>
      <w:bookmarkEnd w:id="244"/>
      <w:bookmarkEnd w:id="245"/>
      <w:r>
        <w:rPr>
          <w:rFonts w:hint="eastAsia" w:ascii="Times New Roman" w:hAnsi="Times New Roman" w:eastAsia="黑体" w:cs="Times New Roman"/>
          <w:color w:val="auto"/>
          <w:sz w:val="24"/>
          <w:highlight w:val="none"/>
        </w:rPr>
        <w:t>拟委</w:t>
      </w:r>
      <w:r>
        <w:rPr>
          <w:rFonts w:hint="eastAsia" w:ascii="Times New Roman" w:hAnsi="Times New Roman" w:eastAsia="黑体" w:cs="Times New Roman"/>
          <w:color w:val="auto"/>
          <w:sz w:val="24"/>
          <w:highlight w:val="none"/>
          <w:lang w:val="en-US" w:eastAsia="zh-CN"/>
        </w:rPr>
        <w:t>派</w:t>
      </w:r>
      <w:r>
        <w:rPr>
          <w:rFonts w:hint="eastAsia" w:ascii="Times New Roman" w:hAnsi="Times New Roman" w:eastAsia="黑体" w:cs="Times New Roman"/>
          <w:color w:val="auto"/>
          <w:sz w:val="24"/>
          <w:highlight w:val="none"/>
        </w:rPr>
        <w:t>的主要人员</w:t>
      </w:r>
      <w:bookmarkEnd w:id="246"/>
    </w:p>
    <w:p w14:paraId="40BC3C6D">
      <w:pPr>
        <w:spacing w:line="440" w:lineRule="exact"/>
        <w:ind w:left="1619" w:leftChars="771"/>
        <w:rPr>
          <w:rFonts w:ascii="Times New Roman" w:hAnsi="Times New Roman" w:eastAsia="黑体" w:cs="Times New Roman"/>
          <w:color w:val="auto"/>
          <w:sz w:val="24"/>
          <w:highlight w:val="none"/>
        </w:rPr>
      </w:pPr>
      <w:bookmarkStart w:id="249" w:name="_Toc32220_WPSOffice_Level1"/>
      <w:bookmarkStart w:id="250" w:name="_Toc20930_WPSOffice_Level1"/>
      <w:bookmarkStart w:id="251" w:name="_Toc4968_WPSOffice_Level1"/>
      <w:r>
        <w:rPr>
          <w:rFonts w:hint="eastAsia" w:ascii="Times New Roman" w:hAnsi="Times New Roman" w:eastAsia="黑体" w:cs="Times New Roman"/>
          <w:color w:val="auto"/>
          <w:sz w:val="24"/>
          <w:highlight w:val="none"/>
        </w:rPr>
        <w:t>七</w:t>
      </w:r>
      <w:bookmarkEnd w:id="247"/>
      <w:bookmarkEnd w:id="248"/>
      <w:bookmarkEnd w:id="249"/>
      <w:bookmarkEnd w:id="250"/>
      <w:bookmarkStart w:id="252" w:name="_Toc30273_WPSOffice_Level1"/>
      <w:bookmarkStart w:id="253" w:name="_Toc32648_WPSOffice_Level1"/>
      <w:bookmarkStart w:id="254" w:name="_Toc27403_WPSOffice_Level1"/>
      <w:bookmarkStart w:id="255" w:name="_Toc25804_WPSOffice_Level1"/>
      <w:r>
        <w:rPr>
          <w:rFonts w:ascii="Times New Roman" w:hAnsi="Times New Roman" w:eastAsia="黑体" w:cs="Times New Roman"/>
          <w:color w:val="auto"/>
          <w:sz w:val="24"/>
          <w:highlight w:val="none"/>
        </w:rPr>
        <w:t>、</w:t>
      </w:r>
      <w:bookmarkEnd w:id="252"/>
      <w:bookmarkEnd w:id="253"/>
      <w:bookmarkEnd w:id="254"/>
      <w:bookmarkEnd w:id="255"/>
      <w:r>
        <w:rPr>
          <w:rFonts w:hint="eastAsia" w:ascii="Times New Roman" w:hAnsi="Times New Roman" w:eastAsia="黑体" w:cs="Times New Roman"/>
          <w:color w:val="auto"/>
          <w:sz w:val="24"/>
          <w:highlight w:val="none"/>
        </w:rPr>
        <w:t>信誉情况</w:t>
      </w:r>
      <w:bookmarkEnd w:id="251"/>
    </w:p>
    <w:p w14:paraId="434FD391">
      <w:pPr>
        <w:spacing w:line="440" w:lineRule="exact"/>
        <w:ind w:left="1619" w:leftChars="771"/>
        <w:rPr>
          <w:rFonts w:ascii="Times New Roman" w:hAnsi="Times New Roman" w:eastAsia="黑体" w:cs="Times New Roman"/>
          <w:color w:val="auto"/>
          <w:sz w:val="24"/>
          <w:highlight w:val="none"/>
        </w:rPr>
      </w:pPr>
      <w:bookmarkStart w:id="256" w:name="_Toc32152_WPSOffice_Level1"/>
      <w:bookmarkStart w:id="257" w:name="_Toc4051_WPSOffice_Level1"/>
      <w:bookmarkStart w:id="258" w:name="_Toc23147_WPSOffice_Level1"/>
      <w:bookmarkStart w:id="259" w:name="_Toc30234_WPSOffice_Level1"/>
      <w:bookmarkStart w:id="260" w:name="_Toc22085_WPSOffice_Level1"/>
      <w:r>
        <w:rPr>
          <w:rFonts w:hint="eastAsia" w:ascii="Times New Roman" w:hAnsi="Times New Roman" w:eastAsia="黑体" w:cs="Times New Roman"/>
          <w:color w:val="auto"/>
          <w:sz w:val="24"/>
          <w:highlight w:val="none"/>
        </w:rPr>
        <w:t>八</w:t>
      </w:r>
      <w:r>
        <w:rPr>
          <w:rFonts w:ascii="Times New Roman" w:hAnsi="Times New Roman" w:eastAsia="黑体" w:cs="Times New Roman"/>
          <w:color w:val="auto"/>
          <w:sz w:val="24"/>
          <w:highlight w:val="none"/>
        </w:rPr>
        <w:t>、</w:t>
      </w:r>
      <w:bookmarkEnd w:id="256"/>
      <w:bookmarkEnd w:id="257"/>
      <w:bookmarkEnd w:id="258"/>
      <w:bookmarkEnd w:id="259"/>
      <w:r>
        <w:rPr>
          <w:rFonts w:hint="eastAsia" w:ascii="Times New Roman" w:hAnsi="Times New Roman" w:eastAsia="黑体" w:cs="Times New Roman"/>
          <w:color w:val="auto"/>
          <w:sz w:val="24"/>
          <w:highlight w:val="none"/>
          <w:lang w:val="en-US" w:eastAsia="zh-CN"/>
        </w:rPr>
        <w:t>服务</w:t>
      </w:r>
      <w:r>
        <w:rPr>
          <w:rFonts w:hint="eastAsia" w:ascii="Times New Roman" w:hAnsi="Times New Roman" w:eastAsia="黑体" w:cs="Times New Roman"/>
          <w:color w:val="auto"/>
          <w:sz w:val="24"/>
          <w:highlight w:val="none"/>
        </w:rPr>
        <w:t>方案</w:t>
      </w:r>
      <w:bookmarkEnd w:id="260"/>
    </w:p>
    <w:bookmarkEnd w:id="223"/>
    <w:p w14:paraId="29CEE3E7">
      <w:pPr>
        <w:spacing w:line="440" w:lineRule="exact"/>
        <w:ind w:left="1619" w:leftChars="771"/>
        <w:rPr>
          <w:rFonts w:hint="default" w:ascii="Times New Roman" w:hAnsi="Times New Roman" w:eastAsia="黑体" w:cs="Times New Roman"/>
          <w:color w:val="auto"/>
          <w:sz w:val="24"/>
          <w:highlight w:val="none"/>
          <w:lang w:val="en-US" w:eastAsia="zh-CN"/>
        </w:rPr>
      </w:pPr>
    </w:p>
    <w:p w14:paraId="54345D74">
      <w:pPr>
        <w:spacing w:line="440" w:lineRule="exact"/>
        <w:ind w:left="1619" w:leftChars="771"/>
        <w:rPr>
          <w:rFonts w:ascii="Times New Roman" w:hAnsi="Times New Roman" w:eastAsia="黑体" w:cs="Times New Roman"/>
          <w:color w:val="auto"/>
          <w:sz w:val="24"/>
          <w:highlight w:val="none"/>
        </w:rPr>
      </w:pPr>
    </w:p>
    <w:p w14:paraId="58FCC3FB">
      <w:pPr>
        <w:spacing w:line="440" w:lineRule="exact"/>
        <w:ind w:left="1619" w:leftChars="771"/>
        <w:rPr>
          <w:rFonts w:ascii="Times New Roman" w:hAnsi="Times New Roman" w:eastAsia="黑体" w:cs="Times New Roman"/>
          <w:color w:val="auto"/>
          <w:sz w:val="24"/>
          <w:highlight w:val="none"/>
        </w:rPr>
      </w:pPr>
    </w:p>
    <w:p w14:paraId="76D869A6">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261" w:name="_Toc18312_WPSOffice_Level1"/>
      <w:bookmarkStart w:id="262" w:name="_Toc30031_WPSOffice_Level1"/>
      <w:bookmarkStart w:id="263" w:name="_Toc28708_WPSOffice_Level1"/>
      <w:bookmarkStart w:id="264" w:name="_Toc25394_WPSOffice_Level1"/>
      <w:bookmarkStart w:id="265" w:name="_Toc2765_WPSOffice_Level1"/>
      <w:bookmarkStart w:id="266" w:name="_Toc1687_WPSOffice_Level1"/>
      <w:r>
        <w:rPr>
          <w:rFonts w:ascii="Times New Roman" w:hAnsi="Times New Roman" w:eastAsia="黑体" w:cs="Times New Roman"/>
          <w:color w:val="auto"/>
          <w:sz w:val="28"/>
          <w:szCs w:val="28"/>
          <w:highlight w:val="none"/>
        </w:rPr>
        <w:t>一、报价函</w:t>
      </w:r>
      <w:bookmarkEnd w:id="261"/>
      <w:bookmarkEnd w:id="262"/>
      <w:bookmarkEnd w:id="263"/>
      <w:bookmarkEnd w:id="264"/>
      <w:bookmarkEnd w:id="265"/>
      <w:bookmarkEnd w:id="266"/>
    </w:p>
    <w:p w14:paraId="609F61AE">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u w:val="single"/>
        </w:rPr>
        <w:t>深圳市安之联置业有限公司</w:t>
      </w:r>
      <w:r>
        <w:rPr>
          <w:rFonts w:ascii="Times New Roman" w:hAnsi="Times New Roman" w:cs="Times New Roman"/>
          <w:color w:val="auto"/>
          <w:sz w:val="24"/>
          <w:highlight w:val="none"/>
        </w:rPr>
        <w:t>(采购人名称)：</w:t>
      </w:r>
    </w:p>
    <w:p w14:paraId="4DD410A5">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eastAsia="zh-CN"/>
        </w:rPr>
        <w:t>深圳安联尚璟府项目软装家具套装采购（2025~2026年度）</w:t>
      </w:r>
      <w:r>
        <w:rPr>
          <w:rFonts w:ascii="Times New Roman" w:hAnsi="Times New Roman" w:cs="Times New Roman"/>
          <w:color w:val="auto"/>
          <w:sz w:val="24"/>
          <w:highlight w:val="none"/>
        </w:rPr>
        <w:t>合同包询比文件的全部内容(含补遗书第__号至第__号)，愿意以人民币(大写)</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none"/>
          <w:lang w:val="en-US" w:eastAsia="zh-CN"/>
        </w:rPr>
        <w:t>元</w:t>
      </w:r>
      <w:r>
        <w:rPr>
          <w:rFonts w:ascii="Times New Roman" w:hAnsi="Times New Roman" w:cs="Times New Roman"/>
          <w:color w:val="auto"/>
          <w:sz w:val="24"/>
          <w:highlight w:val="none"/>
        </w:rPr>
        <w:t>(小写：¥</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none"/>
          <w:lang w:val="en-US" w:eastAsia="zh-CN"/>
        </w:rPr>
        <w:t>元</w:t>
      </w:r>
      <w:r>
        <w:rPr>
          <w:rFonts w:ascii="Times New Roman" w:hAnsi="Times New Roman" w:cs="Times New Roman"/>
          <w:color w:val="auto"/>
          <w:sz w:val="24"/>
          <w:highlight w:val="none"/>
        </w:rPr>
        <w:t>)的</w:t>
      </w:r>
      <w:r>
        <w:rPr>
          <w:rFonts w:hint="eastAsia" w:ascii="Times New Roman" w:hAnsi="Times New Roman" w:cs="Times New Roman"/>
          <w:color w:val="auto"/>
          <w:sz w:val="24"/>
          <w:highlight w:val="none"/>
          <w:lang w:val="en-US" w:eastAsia="zh-CN"/>
        </w:rPr>
        <w:t>含税</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val="en-US" w:eastAsia="zh-CN"/>
        </w:rPr>
        <w:t>其中，增值税税率</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，供货周</w:t>
      </w:r>
      <w:r>
        <w:rPr>
          <w:rFonts w:hint="eastAsia" w:ascii="Times New Roman" w:hAnsi="Times New Roman" w:cs="Times New Roman"/>
          <w:color w:val="auto"/>
          <w:sz w:val="24"/>
          <w:highlight w:val="none"/>
        </w:rPr>
        <w:t>期</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，按合同约定实施和完成相关服务，质量目标达到</w:t>
      </w:r>
      <w:r>
        <w:rPr>
          <w:rFonts w:ascii="Times New Roman" w:hAnsi="Times New Roman" w:cs="Times New Roman"/>
          <w:color w:val="auto"/>
          <w:sz w:val="24"/>
          <w:highlight w:val="none"/>
          <w:u w:val="single"/>
        </w:rPr>
        <w:t xml:space="preserve"> </w:t>
      </w:r>
      <w:r>
        <w:rPr>
          <w:rFonts w:hint="eastAsia" w:ascii="Times New Roman" w:hAnsi="Times New Roman" w:eastAsia="宋体" w:cs="Times New Roman"/>
          <w:color w:val="auto"/>
          <w:kern w:val="0"/>
          <w:szCs w:val="21"/>
          <w:highlight w:val="none"/>
          <w:u w:val="single"/>
          <w:lang w:val="en-US" w:eastAsia="zh-CN"/>
        </w:rPr>
        <w:t>合格</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，安全目标达到</w:t>
      </w:r>
      <w:r>
        <w:rPr>
          <w:rFonts w:ascii="Times New Roman" w:hAnsi="Times New Roman" w:cs="Times New Roman"/>
          <w:color w:val="auto"/>
          <w:sz w:val="24"/>
          <w:highlight w:val="none"/>
          <w:u w:val="single"/>
        </w:rPr>
        <w:t xml:space="preserve"> </w:t>
      </w:r>
      <w:r>
        <w:rPr>
          <w:rFonts w:hint="eastAsia" w:ascii="Times New Roman" w:hAnsi="Times New Roman" w:eastAsia="宋体" w:cs="Times New Roman"/>
          <w:color w:val="auto"/>
          <w:kern w:val="0"/>
          <w:szCs w:val="21"/>
          <w:highlight w:val="none"/>
          <w:u w:val="single"/>
          <w:lang w:val="en-US" w:eastAsia="zh-CN"/>
        </w:rPr>
        <w:t>合格</w:t>
      </w:r>
      <w:r>
        <w:rPr>
          <w:rFonts w:ascii="Times New Roman" w:hAnsi="Times New Roman" w:cs="Times New Roman"/>
          <w:color w:val="auto"/>
          <w:sz w:val="24"/>
          <w:highlight w:val="none"/>
        </w:rPr>
        <w:t>。</w:t>
      </w:r>
    </w:p>
    <w:p w14:paraId="04175434">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24370189">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3．随同本报价函提交响应保证金一份，金额为人民币(大写)</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元(</w:t>
      </w:r>
      <w:r>
        <w:rPr>
          <w:rFonts w:hint="eastAsia" w:ascii="Times New Roman" w:hAnsi="Times New Roman" w:cs="Times New Roman"/>
          <w:color w:val="auto"/>
          <w:sz w:val="24"/>
          <w:highlight w:val="none"/>
          <w:lang w:val="en-US" w:eastAsia="zh-CN"/>
        </w:rPr>
        <w:t>小写：</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none"/>
          <w:lang w:val="en-US" w:eastAsia="zh-CN"/>
        </w:rPr>
        <w:t>元</w:t>
      </w:r>
      <w:r>
        <w:rPr>
          <w:rFonts w:ascii="Times New Roman" w:hAnsi="Times New Roman" w:cs="Times New Roman"/>
          <w:color w:val="auto"/>
          <w:sz w:val="24"/>
          <w:highlight w:val="none"/>
        </w:rPr>
        <w:t xml:space="preserve"> )。</w:t>
      </w:r>
    </w:p>
    <w:p w14:paraId="5F435B0A">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4．如我方成交：</w:t>
      </w:r>
    </w:p>
    <w:p w14:paraId="6B4462D5">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05265D19">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(2)我方承诺按照询比文件规定向你方递交履约担保。</w:t>
      </w:r>
    </w:p>
    <w:p w14:paraId="330FE6C9">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6FC500C0">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5．我方在此声明，所递交的响应文件及有关资料内容完整、真实和准确。</w:t>
      </w:r>
    </w:p>
    <w:p w14:paraId="6A94FA8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6．在合同协议书正式签署生效之前，本报价函连同你方的成交通知书将构成我们双方之间共同遵守的文件，对双方具有约束力。</w:t>
      </w:r>
    </w:p>
    <w:p w14:paraId="3A7C71E2">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7．我方理解，你方不一定</w:t>
      </w:r>
      <w:r>
        <w:rPr>
          <w:rFonts w:hint="eastAsia" w:ascii="Times New Roman" w:hAnsi="Times New Roman" w:cs="Times New Roman"/>
          <w:color w:val="auto"/>
          <w:sz w:val="24"/>
          <w:highlight w:val="none"/>
        </w:rPr>
        <w:t>接受</w:t>
      </w:r>
      <w:r>
        <w:rPr>
          <w:rFonts w:ascii="Times New Roman" w:hAnsi="Times New Roman" w:cs="Times New Roman"/>
          <w:color w:val="auto"/>
          <w:sz w:val="24"/>
          <w:highlight w:val="none"/>
        </w:rPr>
        <w:t>任何报价。同时也理解，你方不负担我方的任何报价费用。</w:t>
      </w:r>
    </w:p>
    <w:p w14:paraId="61A5128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8.____________。</w:t>
      </w:r>
    </w:p>
    <w:p w14:paraId="2CE9E2DF">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14:paraId="7EA64A74">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rPr>
        <w:t>或委托代理人</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签名</w:t>
      </w:r>
      <w:r>
        <w:rPr>
          <w:rFonts w:ascii="Times New Roman" w:hAnsi="Times New Roman" w:cs="Times New Roman"/>
          <w:color w:val="auto"/>
          <w:sz w:val="24"/>
          <w:highlight w:val="none"/>
        </w:rPr>
        <w:t>)</w:t>
      </w:r>
    </w:p>
    <w:p w14:paraId="05167164">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1628200">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网址：</w:t>
      </w:r>
      <w:r>
        <w:rPr>
          <w:rFonts w:ascii="Times New Roman" w:hAnsi="Times New Roman" w:cs="Times New Roman"/>
          <w:color w:val="auto"/>
          <w:sz w:val="24"/>
          <w:highlight w:val="none"/>
          <w:u w:val="single"/>
        </w:rPr>
        <w:t xml:space="preserve">                                     </w:t>
      </w:r>
    </w:p>
    <w:p w14:paraId="42BD051B">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电话：</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3A9B3DAC">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7E119808">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603E903">
      <w:p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14:paraId="1CD70498">
      <w:pPr>
        <w:spacing w:line="440" w:lineRule="exact"/>
        <w:jc w:val="center"/>
        <w:rPr>
          <w:rFonts w:ascii="Times New Roman" w:hAnsi="Times New Roman" w:eastAsia="黑体" w:cs="Times New Roman"/>
          <w:color w:val="auto"/>
          <w:sz w:val="20"/>
          <w:szCs w:val="20"/>
          <w:highlight w:val="none"/>
        </w:rPr>
      </w:pPr>
    </w:p>
    <w:p w14:paraId="3A602A8B">
      <w:pPr>
        <w:spacing w:line="440" w:lineRule="exact"/>
        <w:jc w:val="center"/>
        <w:rPr>
          <w:rFonts w:ascii="Times New Roman" w:hAnsi="Times New Roman" w:eastAsia="黑体" w:cs="Times New Roman"/>
          <w:color w:val="auto"/>
          <w:sz w:val="28"/>
          <w:szCs w:val="28"/>
          <w:highlight w:val="none"/>
        </w:rPr>
      </w:pPr>
      <w:bookmarkStart w:id="267" w:name="_Toc18668_WPSOffice_Level1"/>
      <w:bookmarkStart w:id="268" w:name="_Toc10475_WPSOffice_Level1"/>
      <w:bookmarkStart w:id="269" w:name="_Toc8695_WPSOffice_Level1"/>
      <w:bookmarkStart w:id="270" w:name="_Toc32350_WPSOffice_Level1"/>
      <w:bookmarkStart w:id="271" w:name="_Toc16271_WPSOffice_Level1"/>
      <w:bookmarkStart w:id="272" w:name="_Toc14563_WPSOffice_Level1"/>
      <w:r>
        <w:rPr>
          <w:rFonts w:ascii="Times New Roman" w:hAnsi="Times New Roman" w:eastAsia="黑体" w:cs="Times New Roman"/>
          <w:color w:val="auto"/>
          <w:sz w:val="28"/>
          <w:szCs w:val="28"/>
          <w:highlight w:val="none"/>
        </w:rPr>
        <w:t>二、法定代表人身份证明及授权委托书</w:t>
      </w:r>
      <w:bookmarkEnd w:id="267"/>
      <w:bookmarkEnd w:id="268"/>
      <w:bookmarkEnd w:id="269"/>
      <w:bookmarkEnd w:id="270"/>
      <w:bookmarkEnd w:id="271"/>
      <w:bookmarkEnd w:id="272"/>
    </w:p>
    <w:p w14:paraId="2374565C">
      <w:pPr>
        <w:spacing w:line="440" w:lineRule="exact"/>
        <w:rPr>
          <w:rFonts w:ascii="Times New Roman" w:hAnsi="Times New Roman" w:cs="Times New Roman"/>
          <w:color w:val="auto"/>
          <w:sz w:val="20"/>
          <w:szCs w:val="20"/>
          <w:highlight w:val="none"/>
        </w:rPr>
      </w:pPr>
    </w:p>
    <w:p w14:paraId="423DD77F">
      <w:pPr>
        <w:spacing w:line="440" w:lineRule="exact"/>
        <w:jc w:val="center"/>
        <w:rPr>
          <w:rFonts w:ascii="Times New Roman" w:hAnsi="Times New Roman" w:cs="Times New Roman"/>
          <w:color w:val="auto"/>
          <w:sz w:val="28"/>
          <w:szCs w:val="28"/>
          <w:highlight w:val="none"/>
        </w:rPr>
      </w:pPr>
      <w:bookmarkStart w:id="273" w:name="_Toc5153_WPSOffice_Level2"/>
      <w:bookmarkStart w:id="274" w:name="_Toc20803_WPSOffice_Level2"/>
      <w:r>
        <w:rPr>
          <w:rFonts w:ascii="Times New Roman" w:hAnsi="Times New Roman" w:eastAsia="黑体" w:cs="Times New Roman"/>
          <w:bCs/>
          <w:color w:val="auto"/>
          <w:sz w:val="28"/>
          <w:szCs w:val="28"/>
          <w:highlight w:val="none"/>
        </w:rPr>
        <w:t>2-1 法定代表人身份证明</w:t>
      </w:r>
      <w:bookmarkEnd w:id="273"/>
      <w:bookmarkEnd w:id="274"/>
    </w:p>
    <w:p w14:paraId="7720BB56">
      <w:pPr>
        <w:spacing w:line="440" w:lineRule="exact"/>
        <w:rPr>
          <w:rFonts w:ascii="Times New Roman" w:hAnsi="Times New Roman" w:cs="Times New Roman"/>
          <w:color w:val="auto"/>
          <w:sz w:val="20"/>
          <w:szCs w:val="20"/>
          <w:highlight w:val="none"/>
        </w:rPr>
      </w:pPr>
    </w:p>
    <w:p w14:paraId="7AB032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供应商名称：</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12121F11">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单位性质：</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62268597">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p>
    <w:p w14:paraId="4DF1706E">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成立时间：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日</w:t>
      </w:r>
    </w:p>
    <w:p w14:paraId="0B71E0EE">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经营期限：</w:t>
      </w:r>
      <w:r>
        <w:rPr>
          <w:rFonts w:ascii="Times New Roman" w:hAnsi="Times New Roman" w:cs="Times New Roman"/>
          <w:color w:val="auto"/>
          <w:sz w:val="24"/>
          <w:highlight w:val="none"/>
          <w:u w:val="single"/>
        </w:rPr>
        <w:t xml:space="preserve">                               </w:t>
      </w:r>
    </w:p>
    <w:p w14:paraId="762F553F">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姓名：</w:t>
      </w:r>
      <w:r>
        <w:rPr>
          <w:rFonts w:ascii="Times New Roman" w:hAnsi="Times New Roman" w:cs="Times New Roman"/>
          <w:color w:val="auto"/>
          <w:sz w:val="24"/>
          <w:highlight w:val="none"/>
          <w:u w:val="single"/>
        </w:rPr>
        <w:t xml:space="preserve">  </w:t>
      </w:r>
      <w:r>
        <w:rPr>
          <w:rFonts w:ascii="Times New Roman" w:hAnsi="Times New Roman" w:cs="Times New Roman"/>
          <w:bCs/>
          <w:color w:val="auto"/>
          <w:sz w:val="24"/>
          <w:highlight w:val="none"/>
          <w:u w:val="single"/>
        </w:rPr>
        <w:t xml:space="preserve">                </w:t>
      </w:r>
      <w:r>
        <w:rPr>
          <w:rFonts w:ascii="Times New Roman" w:hAnsi="Times New Roman" w:cs="Times New Roman"/>
          <w:color w:val="auto"/>
          <w:sz w:val="24"/>
          <w:highlight w:val="none"/>
        </w:rPr>
        <w:t xml:space="preserve"> 性别：</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年龄：</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职务：</w:t>
      </w:r>
      <w:r>
        <w:rPr>
          <w:rFonts w:ascii="Times New Roman" w:hAnsi="Times New Roman" w:cs="Times New Roman"/>
          <w:color w:val="auto"/>
          <w:sz w:val="24"/>
          <w:highlight w:val="none"/>
          <w:u w:val="single"/>
        </w:rPr>
        <w:t xml:space="preserve">        </w:t>
      </w:r>
    </w:p>
    <w:p w14:paraId="6E7D669C">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系</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(供应商名称)的法定代表人。</w:t>
      </w:r>
    </w:p>
    <w:p w14:paraId="43963646">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附：法定代表人</w:t>
      </w:r>
      <w:r>
        <w:rPr>
          <w:rFonts w:hint="eastAsia" w:ascii="Times New Roman" w:hAnsi="Times New Roman" w:cs="Times New Roman"/>
          <w:color w:val="auto"/>
          <w:sz w:val="24"/>
          <w:highlight w:val="none"/>
        </w:rPr>
        <w:t>身份证正反面复印件</w:t>
      </w:r>
    </w:p>
    <w:p w14:paraId="69CAE38A">
      <w:pPr>
        <w:spacing w:line="440" w:lineRule="exact"/>
        <w:ind w:firstLine="480" w:firstLineChars="200"/>
        <w:rPr>
          <w:rFonts w:ascii="Times New Roman" w:hAnsi="Times New Roman" w:cs="Times New Roman"/>
          <w:color w:val="auto"/>
          <w:sz w:val="24"/>
          <w:highlight w:val="none"/>
        </w:rPr>
      </w:pPr>
    </w:p>
    <w:p w14:paraId="2733DCFF">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特此证明。</w:t>
      </w:r>
    </w:p>
    <w:p w14:paraId="2D2F522D">
      <w:pPr>
        <w:spacing w:line="440" w:lineRule="exact"/>
        <w:rPr>
          <w:rFonts w:ascii="Times New Roman" w:hAnsi="Times New Roman" w:cs="Times New Roman"/>
          <w:color w:val="auto"/>
          <w:sz w:val="24"/>
          <w:highlight w:val="none"/>
        </w:rPr>
      </w:pPr>
    </w:p>
    <w:p w14:paraId="723FA2ED">
      <w:pPr>
        <w:spacing w:line="440" w:lineRule="exact"/>
        <w:rPr>
          <w:rFonts w:ascii="Times New Roman" w:hAnsi="Times New Roman" w:cs="Times New Roman"/>
          <w:color w:val="auto"/>
          <w:sz w:val="24"/>
          <w:highlight w:val="none"/>
        </w:rPr>
      </w:pPr>
    </w:p>
    <w:p w14:paraId="541A7AE2">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14:paraId="6B2AF02E">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日           </w:t>
      </w:r>
    </w:p>
    <w:p w14:paraId="629C0324">
      <w:pPr>
        <w:topLinePunct/>
        <w:spacing w:line="440" w:lineRule="exact"/>
        <w:rPr>
          <w:rFonts w:ascii="Times New Roman" w:hAnsi="Times New Roman" w:eastAsia="黑体" w:cs="Times New Roman"/>
          <w:color w:val="auto"/>
          <w:sz w:val="24"/>
          <w:highlight w:val="none"/>
        </w:rPr>
      </w:pPr>
    </w:p>
    <w:p w14:paraId="22E7431F">
      <w:pPr>
        <w:topLinePunct/>
        <w:spacing w:line="440" w:lineRule="exact"/>
        <w:rPr>
          <w:rFonts w:ascii="Times New Roman" w:hAnsi="Times New Roman" w:eastAsia="黑体" w:cs="Times New Roman"/>
          <w:color w:val="auto"/>
          <w:sz w:val="24"/>
          <w:highlight w:val="none"/>
        </w:rPr>
      </w:pPr>
    </w:p>
    <w:p w14:paraId="7D66B4F6">
      <w:pPr>
        <w:topLinePunct/>
        <w:spacing w:line="440" w:lineRule="exact"/>
        <w:rPr>
          <w:rFonts w:ascii="Times New Roman" w:hAnsi="Times New Roman" w:eastAsia="黑体" w:cs="Times New Roman"/>
          <w:color w:val="auto"/>
          <w:sz w:val="24"/>
          <w:highlight w:val="none"/>
        </w:rPr>
      </w:pPr>
    </w:p>
    <w:p w14:paraId="0710200C">
      <w:pPr>
        <w:topLinePunct/>
        <w:spacing w:line="440" w:lineRule="exact"/>
        <w:rPr>
          <w:rFonts w:ascii="Times New Roman" w:hAnsi="Times New Roman" w:eastAsia="黑体" w:cs="Times New Roman"/>
          <w:color w:val="auto"/>
          <w:sz w:val="24"/>
          <w:highlight w:val="none"/>
        </w:rPr>
      </w:pPr>
    </w:p>
    <w:p w14:paraId="324FBE66">
      <w:pPr>
        <w:topLinePunct/>
        <w:spacing w:line="440" w:lineRule="exact"/>
        <w:rPr>
          <w:rFonts w:ascii="Times New Roman" w:hAnsi="Times New Roman" w:eastAsia="黑体" w:cs="Times New Roman"/>
          <w:color w:val="auto"/>
          <w:sz w:val="24"/>
          <w:highlight w:val="none"/>
        </w:rPr>
      </w:pPr>
    </w:p>
    <w:p w14:paraId="3FA9A5DA">
      <w:pPr>
        <w:topLinePunct/>
        <w:spacing w:line="440" w:lineRule="exact"/>
        <w:ind w:left="315" w:hanging="315" w:hangingChars="150"/>
        <w:rPr>
          <w:rFonts w:ascii="Times New Roman" w:hAnsi="Times New Roman" w:eastAsia="黑体" w:cs="Times New Roman"/>
          <w:color w:val="auto"/>
          <w:szCs w:val="21"/>
          <w:highlight w:val="none"/>
        </w:rPr>
      </w:pPr>
    </w:p>
    <w:p w14:paraId="15C48610">
      <w:pPr>
        <w:topLinePunct/>
        <w:spacing w:line="440" w:lineRule="exact"/>
        <w:ind w:left="315" w:hanging="315" w:hangingChars="150"/>
        <w:rPr>
          <w:rFonts w:ascii="Times New Roman" w:hAnsi="Times New Roman" w:eastAsia="黑体" w:cs="Times New Roman"/>
          <w:bCs/>
          <w:color w:val="auto"/>
          <w:szCs w:val="21"/>
          <w:highlight w:val="none"/>
        </w:rPr>
      </w:pPr>
    </w:p>
    <w:p w14:paraId="30E05F92">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4"/>
          <w:highlight w:val="none"/>
        </w:rPr>
        <w:br w:type="page"/>
      </w:r>
      <w:bookmarkStart w:id="275" w:name="_Toc12035_WPSOffice_Level2"/>
      <w:bookmarkStart w:id="276" w:name="_Toc19768_WPSOffice_Level2"/>
      <w:r>
        <w:rPr>
          <w:rFonts w:ascii="Times New Roman" w:hAnsi="Times New Roman" w:eastAsia="黑体" w:cs="Times New Roman"/>
          <w:bCs/>
          <w:color w:val="auto"/>
          <w:sz w:val="28"/>
          <w:szCs w:val="28"/>
          <w:highlight w:val="none"/>
        </w:rPr>
        <w:t xml:space="preserve">2-2 </w:t>
      </w:r>
      <w:r>
        <w:rPr>
          <w:rFonts w:ascii="Times New Roman" w:hAnsi="Times New Roman" w:eastAsia="黑体" w:cs="Times New Roman"/>
          <w:color w:val="auto"/>
          <w:sz w:val="28"/>
          <w:szCs w:val="28"/>
          <w:highlight w:val="none"/>
        </w:rPr>
        <w:t>授权委托书</w:t>
      </w:r>
      <w:bookmarkEnd w:id="275"/>
      <w:bookmarkEnd w:id="276"/>
    </w:p>
    <w:p w14:paraId="76D2DBD1">
      <w:pPr>
        <w:spacing w:line="440" w:lineRule="exact"/>
        <w:rPr>
          <w:rFonts w:ascii="Times New Roman" w:hAnsi="Times New Roman" w:eastAsia="黑体" w:cs="Times New Roman"/>
          <w:color w:val="auto"/>
          <w:sz w:val="24"/>
          <w:highlight w:val="none"/>
        </w:rPr>
      </w:pPr>
    </w:p>
    <w:p w14:paraId="6B513D82">
      <w:pPr>
        <w:topLinePunct/>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本人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(姓名)系</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(供应商名称)的法定代表人，现委托</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(姓名)为我方代理人。代理人根据授权，以我方名义签署、澄清、说明、补正、递交、撤回、修改</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eastAsia="zh-CN"/>
        </w:rPr>
        <w:t>深圳安联尚璟府项目软装家具套装采购（2025~2026年度）</w:t>
      </w:r>
      <w:r>
        <w:rPr>
          <w:rFonts w:ascii="Times New Roman" w:hAnsi="Times New Roman" w:cs="Times New Roman"/>
          <w:color w:val="auto"/>
          <w:sz w:val="24"/>
          <w:highlight w:val="none"/>
        </w:rPr>
        <w:t>合同包响应文件、签订合同和处理有关事宜，其法律后果由我方承担。</w:t>
      </w:r>
    </w:p>
    <w:p w14:paraId="6CA82F3F">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委托期限：</w:t>
      </w:r>
      <w:r>
        <w:rPr>
          <w:rFonts w:ascii="Times New Roman" w:hAnsi="Times New Roman" w:cs="Times New Roman"/>
          <w:color w:val="auto"/>
          <w:sz w:val="24"/>
          <w:highlight w:val="none"/>
          <w:u w:val="single"/>
        </w:rPr>
        <w:t>自授权委托之日起至签订合同之日止</w:t>
      </w:r>
      <w:r>
        <w:rPr>
          <w:rFonts w:ascii="Times New Roman" w:hAnsi="Times New Roman" w:cs="Times New Roman"/>
          <w:color w:val="auto"/>
          <w:sz w:val="24"/>
          <w:highlight w:val="none"/>
        </w:rPr>
        <w:t>。</w:t>
      </w:r>
    </w:p>
    <w:p w14:paraId="4CD897E0">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代理人无转委托权。</w:t>
      </w:r>
    </w:p>
    <w:p w14:paraId="2323DC79">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附：法定代表人身份证明</w:t>
      </w:r>
      <w:r>
        <w:rPr>
          <w:rFonts w:hint="eastAsia" w:ascii="Times New Roman" w:hAnsi="Times New Roman" w:cs="Times New Roman"/>
          <w:color w:val="auto"/>
          <w:sz w:val="24"/>
          <w:highlight w:val="none"/>
        </w:rPr>
        <w:t>、委托代理人的身份证正反面复印件</w:t>
      </w:r>
    </w:p>
    <w:p w14:paraId="3CC34C1C">
      <w:pPr>
        <w:spacing w:line="440" w:lineRule="exact"/>
        <w:ind w:firstLine="480" w:firstLineChars="200"/>
        <w:rPr>
          <w:rFonts w:ascii="Times New Roman" w:hAnsi="Times New Roman" w:cs="Times New Roman"/>
          <w:color w:val="auto"/>
          <w:sz w:val="24"/>
          <w:highlight w:val="none"/>
        </w:rPr>
      </w:pPr>
    </w:p>
    <w:p w14:paraId="5D2EFC51">
      <w:pPr>
        <w:spacing w:line="440" w:lineRule="exact"/>
        <w:rPr>
          <w:rFonts w:ascii="Times New Roman" w:hAnsi="Times New Roman" w:cs="Times New Roman"/>
          <w:color w:val="auto"/>
          <w:sz w:val="24"/>
          <w:highlight w:val="none"/>
        </w:rPr>
      </w:pPr>
    </w:p>
    <w:p w14:paraId="41A5BB7C">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14:paraId="49EEDE80">
      <w:pPr>
        <w:spacing w:line="440" w:lineRule="exact"/>
        <w:rPr>
          <w:rFonts w:ascii="Times New Roman" w:hAnsi="Times New Roman" w:cs="Times New Roman"/>
          <w:color w:val="auto"/>
          <w:sz w:val="24"/>
          <w:highlight w:val="none"/>
        </w:rPr>
      </w:pPr>
    </w:p>
    <w:p w14:paraId="3C840925">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法定代表人：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签名</w:t>
      </w:r>
      <w:r>
        <w:rPr>
          <w:rFonts w:ascii="Times New Roman" w:hAnsi="Times New Roman" w:cs="Times New Roman"/>
          <w:color w:val="auto"/>
          <w:sz w:val="24"/>
          <w:highlight w:val="none"/>
        </w:rPr>
        <w:t>)</w:t>
      </w:r>
    </w:p>
    <w:p w14:paraId="03C372D2">
      <w:pPr>
        <w:spacing w:line="440" w:lineRule="exact"/>
        <w:rPr>
          <w:rFonts w:ascii="Times New Roman" w:hAnsi="Times New Roman" w:cs="Times New Roman"/>
          <w:color w:val="auto"/>
          <w:sz w:val="24"/>
          <w:highlight w:val="none"/>
        </w:rPr>
      </w:pPr>
    </w:p>
    <w:p w14:paraId="01B91B06">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身份证号码：</w:t>
      </w:r>
      <w:r>
        <w:rPr>
          <w:rFonts w:ascii="Times New Roman" w:hAnsi="Times New Roman" w:cs="Times New Roman"/>
          <w:color w:val="auto"/>
          <w:sz w:val="24"/>
          <w:highlight w:val="none"/>
          <w:u w:val="single"/>
        </w:rPr>
        <w:t xml:space="preserve">                                    </w:t>
      </w:r>
    </w:p>
    <w:p w14:paraId="41A85736">
      <w:pPr>
        <w:spacing w:line="440" w:lineRule="exact"/>
        <w:rPr>
          <w:rFonts w:ascii="Times New Roman" w:hAnsi="Times New Roman" w:cs="Times New Roman"/>
          <w:color w:val="auto"/>
          <w:sz w:val="24"/>
          <w:highlight w:val="none"/>
        </w:rPr>
      </w:pPr>
    </w:p>
    <w:p w14:paraId="5EF92F18">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委托代理人：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签名</w:t>
      </w:r>
      <w:r>
        <w:rPr>
          <w:rFonts w:ascii="Times New Roman" w:hAnsi="Times New Roman" w:cs="Times New Roman"/>
          <w:color w:val="auto"/>
          <w:sz w:val="24"/>
          <w:highlight w:val="none"/>
        </w:rPr>
        <w:t>)</w:t>
      </w:r>
    </w:p>
    <w:p w14:paraId="140254D8">
      <w:pPr>
        <w:spacing w:line="440" w:lineRule="exact"/>
        <w:rPr>
          <w:rFonts w:ascii="Times New Roman" w:hAnsi="Times New Roman" w:cs="Times New Roman"/>
          <w:color w:val="auto"/>
          <w:sz w:val="24"/>
          <w:highlight w:val="none"/>
        </w:rPr>
      </w:pPr>
    </w:p>
    <w:p w14:paraId="08B6C9DA">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身份证号码：</w:t>
      </w:r>
      <w:r>
        <w:rPr>
          <w:rFonts w:ascii="Times New Roman" w:hAnsi="Times New Roman" w:cs="Times New Roman"/>
          <w:color w:val="auto"/>
          <w:sz w:val="24"/>
          <w:highlight w:val="none"/>
          <w:u w:val="single"/>
        </w:rPr>
        <w:t xml:space="preserve">                                    </w:t>
      </w:r>
    </w:p>
    <w:p w14:paraId="2828E53B">
      <w:pPr>
        <w:spacing w:line="440" w:lineRule="exact"/>
        <w:rPr>
          <w:rFonts w:ascii="Times New Roman" w:hAnsi="Times New Roman" w:cs="Times New Roman"/>
          <w:color w:val="auto"/>
          <w:sz w:val="24"/>
          <w:highlight w:val="none"/>
        </w:rPr>
      </w:pPr>
    </w:p>
    <w:p w14:paraId="4319CF4B">
      <w:pPr>
        <w:spacing w:line="440" w:lineRule="exact"/>
        <w:rPr>
          <w:rFonts w:ascii="Times New Roman" w:hAnsi="Times New Roman" w:cs="Times New Roman"/>
          <w:color w:val="auto"/>
          <w:sz w:val="24"/>
          <w:highlight w:val="none"/>
        </w:rPr>
      </w:pPr>
    </w:p>
    <w:p w14:paraId="2AF32514">
      <w:pPr>
        <w:spacing w:line="440" w:lineRule="exact"/>
        <w:ind w:firstLine="1800" w:firstLineChars="750"/>
        <w:rPr>
          <w:rFonts w:ascii="Times New Roman" w:hAnsi="Times New Roman" w:eastAsia="黑体"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年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0C5AC4DB">
      <w:pPr>
        <w:spacing w:line="440" w:lineRule="exact"/>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 xml:space="preserve"> </w:t>
      </w:r>
    </w:p>
    <w:p w14:paraId="4FCBEDC0">
      <w:pPr>
        <w:spacing w:line="360" w:lineRule="exact"/>
        <w:ind w:left="360" w:hanging="360" w:hangingChars="200"/>
        <w:rPr>
          <w:rFonts w:ascii="Times New Roman" w:hAnsi="Times New Roman" w:eastAsia="黑体" w:cs="Times New Roman"/>
          <w:color w:val="auto"/>
          <w:sz w:val="18"/>
          <w:szCs w:val="18"/>
          <w:highlight w:val="none"/>
        </w:rPr>
      </w:pPr>
    </w:p>
    <w:p w14:paraId="04D32C3E">
      <w:pPr>
        <w:spacing w:line="440" w:lineRule="exact"/>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br w:type="page"/>
      </w:r>
    </w:p>
    <w:p w14:paraId="3C304DDC">
      <w:pPr>
        <w:numPr>
          <w:ilvl w:val="0"/>
          <w:numId w:val="5"/>
        </w:numPr>
        <w:spacing w:line="440" w:lineRule="exact"/>
        <w:jc w:val="center"/>
        <w:rPr>
          <w:rFonts w:hint="eastAsia" w:ascii="Times New Roman" w:hAnsi="Times New Roman" w:eastAsia="黑体" w:cs="Times New Roman"/>
          <w:color w:val="auto"/>
          <w:sz w:val="28"/>
          <w:szCs w:val="28"/>
          <w:highlight w:val="none"/>
        </w:rPr>
      </w:pPr>
      <w:bookmarkStart w:id="277" w:name="_Toc32085_WPSOffice_Level1"/>
      <w:bookmarkStart w:id="278" w:name="_Toc24530_WPSOffice_Level1"/>
      <w:bookmarkStart w:id="279" w:name="_Toc15186_WPSOffice_Level1"/>
      <w:bookmarkStart w:id="280" w:name="_Toc24567_WPSOffice_Level1"/>
      <w:bookmarkStart w:id="281" w:name="_Toc12127_WPSOffice_Level1"/>
      <w:bookmarkStart w:id="282" w:name="_Toc31532_WPSOffice_Level1"/>
      <w:r>
        <w:rPr>
          <w:rFonts w:ascii="Times New Roman" w:hAnsi="Times New Roman" w:eastAsia="黑体" w:cs="Times New Roman"/>
          <w:color w:val="auto"/>
          <w:sz w:val="28"/>
          <w:szCs w:val="28"/>
          <w:highlight w:val="none"/>
        </w:rPr>
        <w:t>已标价</w:t>
      </w:r>
      <w:r>
        <w:rPr>
          <w:rFonts w:hint="eastAsia" w:ascii="Times New Roman" w:hAnsi="Times New Roman" w:eastAsia="黑体" w:cs="Times New Roman"/>
          <w:color w:val="auto"/>
          <w:sz w:val="28"/>
          <w:szCs w:val="28"/>
          <w:highlight w:val="none"/>
        </w:rPr>
        <w:t>的</w:t>
      </w:r>
      <w:bookmarkEnd w:id="277"/>
      <w:bookmarkEnd w:id="278"/>
      <w:bookmarkEnd w:id="279"/>
      <w:bookmarkEnd w:id="280"/>
      <w:r>
        <w:rPr>
          <w:rFonts w:hint="eastAsia" w:ascii="Times New Roman" w:hAnsi="Times New Roman" w:eastAsia="黑体" w:cs="Times New Roman"/>
          <w:color w:val="auto"/>
          <w:sz w:val="28"/>
          <w:szCs w:val="28"/>
          <w:highlight w:val="none"/>
        </w:rPr>
        <w:t>报价清单</w:t>
      </w:r>
      <w:bookmarkEnd w:id="281"/>
      <w:bookmarkEnd w:id="282"/>
    </w:p>
    <w:p w14:paraId="3F4CB75F">
      <w:pPr>
        <w:spacing w:line="440" w:lineRule="exact"/>
        <w:ind w:firstLine="480" w:firstLineChars="200"/>
        <w:rPr>
          <w:rFonts w:ascii="Times New Roman" w:hAnsi="Times New Roman" w:eastAsia="仿宋_GB2312" w:cs="Times New Roman"/>
          <w:color w:val="auto"/>
          <w:sz w:val="24"/>
        </w:rPr>
      </w:pPr>
      <w:r>
        <w:rPr>
          <w:rFonts w:ascii="Times New Roman" w:hAnsi="Times New Roman" w:eastAsia="仿宋_GB2312" w:cs="Times New Roman"/>
          <w:color w:val="auto"/>
          <w:sz w:val="24"/>
        </w:rPr>
        <w:t>将已标价的报价清单粘贴于此处，并加盖公章，报价单内容</w:t>
      </w:r>
      <w:r>
        <w:rPr>
          <w:rFonts w:hint="eastAsia" w:ascii="Times New Roman" w:hAnsi="Times New Roman" w:eastAsia="仿宋_GB2312" w:cs="Times New Roman"/>
          <w:color w:val="auto"/>
          <w:sz w:val="24"/>
        </w:rPr>
        <w:t>详</w:t>
      </w:r>
      <w:r>
        <w:rPr>
          <w:rFonts w:ascii="Times New Roman" w:hAnsi="Times New Roman" w:eastAsia="仿宋_GB2312" w:cs="Times New Roman"/>
          <w:color w:val="auto"/>
          <w:sz w:val="24"/>
        </w:rPr>
        <w:t>见“第五章-采购需求及清单”。</w:t>
      </w:r>
    </w:p>
    <w:p w14:paraId="76BEB0AE">
      <w:pPr>
        <w:numPr>
          <w:ilvl w:val="0"/>
          <w:numId w:val="0"/>
        </w:numPr>
        <w:spacing w:line="440" w:lineRule="exact"/>
        <w:jc w:val="both"/>
        <w:rPr>
          <w:rFonts w:hint="eastAsia" w:ascii="Times New Roman" w:hAnsi="Times New Roman" w:eastAsia="黑体" w:cs="Times New Roman"/>
          <w:color w:val="auto"/>
          <w:sz w:val="28"/>
          <w:szCs w:val="28"/>
          <w:highlight w:val="none"/>
        </w:rPr>
      </w:pPr>
    </w:p>
    <w:p w14:paraId="3A4C94B8">
      <w:pPr>
        <w:keepNext w:val="0"/>
        <w:keepLines w:val="0"/>
        <w:pageBreakBefore w:val="0"/>
        <w:widowControl w:val="0"/>
        <w:kinsoku/>
        <w:wordWrap/>
        <w:overflowPunct/>
        <w:topLinePunct w:val="0"/>
        <w:autoSpaceDE/>
        <w:autoSpaceDN/>
        <w:bidi w:val="0"/>
        <w:adjustRightInd/>
        <w:snapToGrid/>
        <w:jc w:val="center"/>
        <w:textAlignment w:val="auto"/>
        <w:rPr>
          <w:rFonts w:hint="default" w:eastAsia="方正小标宋_GBK"/>
          <w:color w:val="auto"/>
          <w:lang w:val="en-US" w:eastAsia="zh-CN"/>
        </w:rPr>
      </w:pPr>
    </w:p>
    <w:p w14:paraId="76339B33">
      <w:pPr>
        <w:topLinePunct/>
        <w:spacing w:line="440" w:lineRule="exact"/>
        <w:jc w:val="both"/>
        <w:rPr>
          <w:rFonts w:hint="eastAsia" w:ascii="Times New Roman" w:hAnsi="Times New Roman" w:eastAsia="黑体" w:cs="Times New Roman"/>
          <w:color w:val="auto"/>
          <w:sz w:val="28"/>
          <w:szCs w:val="28"/>
          <w:highlight w:val="none"/>
          <w:lang w:eastAsia="zh-CN"/>
        </w:rPr>
      </w:pPr>
      <w:bookmarkStart w:id="283" w:name="_Toc26477_WPSOffice_Level1"/>
      <w:bookmarkStart w:id="284" w:name="_Toc23545_WPSOffice_Level1"/>
      <w:bookmarkStart w:id="285" w:name="_Toc7738_WPSOffice_Level1"/>
      <w:bookmarkStart w:id="286" w:name="_Toc10436_WPSOffice_Level1"/>
      <w:bookmarkStart w:id="287" w:name="_Toc31445_WPSOffice_Level1"/>
      <w:bookmarkStart w:id="288" w:name="_Toc5978_WPSOffice_Level1"/>
    </w:p>
    <w:p w14:paraId="636A8445">
      <w:pPr>
        <w:pStyle w:val="2"/>
        <w:rPr>
          <w:rFonts w:hint="eastAsia" w:ascii="Times New Roman" w:hAnsi="Times New Roman" w:eastAsia="黑体" w:cs="Times New Roman"/>
          <w:color w:val="auto"/>
          <w:sz w:val="28"/>
          <w:szCs w:val="28"/>
          <w:highlight w:val="none"/>
          <w:lang w:eastAsia="zh-CN"/>
        </w:rPr>
      </w:pPr>
    </w:p>
    <w:p w14:paraId="409492FE">
      <w:pPr>
        <w:pStyle w:val="2"/>
        <w:rPr>
          <w:rFonts w:hint="eastAsia" w:ascii="Times New Roman" w:hAnsi="Times New Roman" w:eastAsia="黑体" w:cs="Times New Roman"/>
          <w:color w:val="auto"/>
          <w:sz w:val="28"/>
          <w:szCs w:val="28"/>
          <w:highlight w:val="none"/>
          <w:lang w:eastAsia="zh-CN"/>
        </w:rPr>
      </w:pPr>
    </w:p>
    <w:p w14:paraId="3ADB2C9F">
      <w:pPr>
        <w:pStyle w:val="2"/>
        <w:rPr>
          <w:rFonts w:hint="eastAsia" w:ascii="Times New Roman" w:hAnsi="Times New Roman" w:eastAsia="黑体" w:cs="Times New Roman"/>
          <w:color w:val="auto"/>
          <w:sz w:val="28"/>
          <w:szCs w:val="28"/>
          <w:highlight w:val="none"/>
          <w:lang w:eastAsia="zh-CN"/>
        </w:rPr>
      </w:pPr>
    </w:p>
    <w:p w14:paraId="53680471">
      <w:pPr>
        <w:pStyle w:val="2"/>
        <w:rPr>
          <w:rFonts w:hint="eastAsia" w:ascii="Times New Roman" w:hAnsi="Times New Roman" w:eastAsia="黑体" w:cs="Times New Roman"/>
          <w:color w:val="auto"/>
          <w:sz w:val="28"/>
          <w:szCs w:val="28"/>
          <w:highlight w:val="none"/>
          <w:lang w:eastAsia="zh-CN"/>
        </w:rPr>
      </w:pPr>
    </w:p>
    <w:p w14:paraId="43964E59">
      <w:pPr>
        <w:pStyle w:val="2"/>
        <w:rPr>
          <w:rFonts w:hint="eastAsia" w:ascii="Times New Roman" w:hAnsi="Times New Roman" w:eastAsia="黑体" w:cs="Times New Roman"/>
          <w:color w:val="auto"/>
          <w:sz w:val="28"/>
          <w:szCs w:val="28"/>
          <w:highlight w:val="none"/>
          <w:lang w:eastAsia="zh-CN"/>
        </w:rPr>
      </w:pPr>
    </w:p>
    <w:p w14:paraId="4FAE5BF3">
      <w:pPr>
        <w:pStyle w:val="2"/>
        <w:rPr>
          <w:rFonts w:hint="eastAsia" w:ascii="Times New Roman" w:hAnsi="Times New Roman" w:eastAsia="黑体" w:cs="Times New Roman"/>
          <w:color w:val="auto"/>
          <w:sz w:val="28"/>
          <w:szCs w:val="28"/>
          <w:highlight w:val="none"/>
          <w:lang w:eastAsia="zh-CN"/>
        </w:rPr>
      </w:pPr>
    </w:p>
    <w:p w14:paraId="369F7DC7">
      <w:pPr>
        <w:pStyle w:val="2"/>
        <w:rPr>
          <w:rFonts w:hint="eastAsia" w:ascii="Times New Roman" w:hAnsi="Times New Roman" w:eastAsia="黑体" w:cs="Times New Roman"/>
          <w:color w:val="auto"/>
          <w:sz w:val="28"/>
          <w:szCs w:val="28"/>
          <w:highlight w:val="none"/>
          <w:lang w:eastAsia="zh-CN"/>
        </w:rPr>
      </w:pPr>
    </w:p>
    <w:p w14:paraId="6A4037D7">
      <w:pPr>
        <w:pStyle w:val="2"/>
        <w:rPr>
          <w:rFonts w:hint="eastAsia" w:ascii="Times New Roman" w:hAnsi="Times New Roman" w:eastAsia="黑体" w:cs="Times New Roman"/>
          <w:color w:val="auto"/>
          <w:sz w:val="28"/>
          <w:szCs w:val="28"/>
          <w:highlight w:val="none"/>
          <w:lang w:eastAsia="zh-CN"/>
        </w:rPr>
      </w:pPr>
    </w:p>
    <w:p w14:paraId="49FF91B9">
      <w:pPr>
        <w:pStyle w:val="2"/>
        <w:rPr>
          <w:rFonts w:hint="eastAsia" w:ascii="Times New Roman" w:hAnsi="Times New Roman" w:eastAsia="黑体" w:cs="Times New Roman"/>
          <w:color w:val="auto"/>
          <w:sz w:val="28"/>
          <w:szCs w:val="28"/>
          <w:highlight w:val="none"/>
          <w:lang w:eastAsia="zh-CN"/>
        </w:rPr>
      </w:pPr>
    </w:p>
    <w:p w14:paraId="10825470">
      <w:pPr>
        <w:pStyle w:val="2"/>
        <w:rPr>
          <w:rFonts w:hint="eastAsia" w:ascii="Times New Roman" w:hAnsi="Times New Roman" w:eastAsia="黑体" w:cs="Times New Roman"/>
          <w:color w:val="auto"/>
          <w:sz w:val="28"/>
          <w:szCs w:val="28"/>
          <w:highlight w:val="none"/>
          <w:lang w:eastAsia="zh-CN"/>
        </w:rPr>
      </w:pPr>
    </w:p>
    <w:p w14:paraId="34A8E3DB">
      <w:pPr>
        <w:pStyle w:val="2"/>
        <w:rPr>
          <w:rFonts w:hint="eastAsia" w:ascii="Times New Roman" w:hAnsi="Times New Roman" w:eastAsia="黑体" w:cs="Times New Roman"/>
          <w:color w:val="auto"/>
          <w:sz w:val="28"/>
          <w:szCs w:val="28"/>
          <w:highlight w:val="none"/>
          <w:lang w:eastAsia="zh-CN"/>
        </w:rPr>
      </w:pPr>
    </w:p>
    <w:p w14:paraId="3251B0AB">
      <w:pPr>
        <w:pStyle w:val="2"/>
        <w:rPr>
          <w:rFonts w:hint="eastAsia" w:ascii="Times New Roman" w:hAnsi="Times New Roman" w:eastAsia="黑体" w:cs="Times New Roman"/>
          <w:color w:val="auto"/>
          <w:sz w:val="28"/>
          <w:szCs w:val="28"/>
          <w:highlight w:val="none"/>
          <w:lang w:eastAsia="zh-CN"/>
        </w:rPr>
      </w:pPr>
    </w:p>
    <w:p w14:paraId="52575496">
      <w:pPr>
        <w:pStyle w:val="2"/>
        <w:rPr>
          <w:rFonts w:hint="eastAsia" w:ascii="Times New Roman" w:hAnsi="Times New Roman" w:eastAsia="黑体" w:cs="Times New Roman"/>
          <w:color w:val="auto"/>
          <w:sz w:val="28"/>
          <w:szCs w:val="28"/>
          <w:highlight w:val="none"/>
          <w:lang w:eastAsia="zh-CN"/>
        </w:rPr>
      </w:pPr>
    </w:p>
    <w:p w14:paraId="6D2F775A">
      <w:pPr>
        <w:topLinePunct/>
        <w:spacing w:line="440" w:lineRule="exact"/>
        <w:jc w:val="both"/>
        <w:rPr>
          <w:rFonts w:hint="eastAsia" w:ascii="Times New Roman" w:hAnsi="Times New Roman" w:eastAsia="黑体" w:cs="Times New Roman"/>
          <w:color w:val="auto"/>
          <w:sz w:val="28"/>
          <w:szCs w:val="28"/>
          <w:highlight w:val="none"/>
          <w:lang w:eastAsia="zh-CN"/>
        </w:rPr>
      </w:pPr>
    </w:p>
    <w:p w14:paraId="4424A8DA">
      <w:pPr>
        <w:topLinePunct/>
        <w:spacing w:line="440" w:lineRule="exact"/>
        <w:jc w:val="both"/>
        <w:rPr>
          <w:rFonts w:hint="eastAsia" w:ascii="Times New Roman" w:hAnsi="Times New Roman" w:eastAsia="黑体" w:cs="Times New Roman"/>
          <w:color w:val="auto"/>
          <w:sz w:val="28"/>
          <w:szCs w:val="28"/>
          <w:highlight w:val="none"/>
          <w:lang w:eastAsia="zh-CN"/>
        </w:rPr>
      </w:pPr>
    </w:p>
    <w:p w14:paraId="728D5738">
      <w:pPr>
        <w:topLinePunct/>
        <w:spacing w:line="440" w:lineRule="exact"/>
        <w:jc w:val="both"/>
        <w:rPr>
          <w:rFonts w:hint="eastAsia" w:ascii="Times New Roman" w:hAnsi="Times New Roman" w:eastAsia="黑体" w:cs="Times New Roman"/>
          <w:color w:val="auto"/>
          <w:sz w:val="28"/>
          <w:szCs w:val="28"/>
          <w:highlight w:val="none"/>
          <w:lang w:eastAsia="zh-CN"/>
        </w:rPr>
      </w:pPr>
    </w:p>
    <w:p w14:paraId="01CCA53B">
      <w:pPr>
        <w:topLinePunct/>
        <w:spacing w:line="440" w:lineRule="exact"/>
        <w:jc w:val="both"/>
        <w:rPr>
          <w:rFonts w:hint="eastAsia" w:ascii="Times New Roman" w:hAnsi="Times New Roman" w:eastAsia="黑体" w:cs="Times New Roman"/>
          <w:color w:val="auto"/>
          <w:sz w:val="28"/>
          <w:szCs w:val="28"/>
          <w:highlight w:val="none"/>
          <w:lang w:eastAsia="zh-CN"/>
        </w:rPr>
      </w:pPr>
    </w:p>
    <w:p w14:paraId="155787A5">
      <w:pPr>
        <w:pStyle w:val="10"/>
        <w:spacing w:line="240" w:lineRule="atLeast"/>
        <w:ind w:right="-512" w:rightChars="-244" w:firstLine="1680" w:firstLineChars="600"/>
        <w:jc w:val="both"/>
        <w:rPr>
          <w:rFonts w:hint="eastAsia" w:ascii="Times New Roman" w:hAnsi="Times New Roman" w:eastAsia="黑体" w:cs="Times New Roman"/>
          <w:color w:val="auto"/>
          <w:sz w:val="28"/>
          <w:szCs w:val="28"/>
          <w:highlight w:val="none"/>
          <w:lang w:eastAsia="zh-CN"/>
        </w:rPr>
      </w:pPr>
      <w:r>
        <w:rPr>
          <w:rFonts w:hint="eastAsia" w:ascii="Times New Roman" w:hAnsi="Times New Roman" w:eastAsia="黑体" w:cs="Times New Roman"/>
          <w:color w:val="auto"/>
          <w:sz w:val="28"/>
          <w:szCs w:val="28"/>
          <w:highlight w:val="none"/>
        </w:rPr>
        <w:t xml:space="preserve">    </w:t>
      </w:r>
      <w:r>
        <w:rPr>
          <w:rFonts w:hint="eastAsia" w:ascii="Times New Roman" w:hAnsi="Times New Roman" w:eastAsia="黑体" w:cs="Times New Roman"/>
          <w:color w:val="auto"/>
          <w:sz w:val="28"/>
          <w:szCs w:val="28"/>
          <w:highlight w:val="none"/>
          <w:lang w:val="en-US" w:eastAsia="zh-CN"/>
        </w:rPr>
        <w:t>四、供应商基本情况</w:t>
      </w:r>
    </w:p>
    <w:bookmarkEnd w:id="283"/>
    <w:bookmarkEnd w:id="284"/>
    <w:bookmarkEnd w:id="285"/>
    <w:bookmarkEnd w:id="286"/>
    <w:bookmarkEnd w:id="287"/>
    <w:bookmarkEnd w:id="288"/>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21BA2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495B6C9A">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1311E27">
            <w:pPr>
              <w:topLinePunct/>
              <w:spacing w:line="440" w:lineRule="exact"/>
              <w:jc w:val="center"/>
              <w:rPr>
                <w:rFonts w:ascii="Times New Roman" w:hAnsi="Times New Roman" w:cs="Times New Roman"/>
                <w:color w:val="auto"/>
                <w:szCs w:val="21"/>
                <w:highlight w:val="none"/>
              </w:rPr>
            </w:pPr>
          </w:p>
        </w:tc>
      </w:tr>
      <w:tr w14:paraId="412F7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48C6471">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0439B473">
            <w:pPr>
              <w:topLinePunct/>
              <w:spacing w:line="440" w:lineRule="exact"/>
              <w:jc w:val="center"/>
              <w:rPr>
                <w:rFonts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2849A37D">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388425E1">
            <w:pPr>
              <w:topLinePunct/>
              <w:spacing w:line="440" w:lineRule="exact"/>
              <w:jc w:val="center"/>
              <w:rPr>
                <w:rFonts w:ascii="Times New Roman" w:hAnsi="Times New Roman" w:cs="Times New Roman"/>
                <w:color w:val="auto"/>
                <w:szCs w:val="21"/>
                <w:highlight w:val="none"/>
              </w:rPr>
            </w:pPr>
          </w:p>
        </w:tc>
      </w:tr>
      <w:tr w14:paraId="5C203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07E538D4">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487A00B3">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EDD422A">
            <w:pPr>
              <w:topLinePunct/>
              <w:spacing w:line="440" w:lineRule="exact"/>
              <w:jc w:val="center"/>
              <w:rPr>
                <w:rFonts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1C67E6F3">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电</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41C27151">
            <w:pPr>
              <w:topLinePunct/>
              <w:spacing w:line="440" w:lineRule="exact"/>
              <w:jc w:val="center"/>
              <w:rPr>
                <w:rFonts w:ascii="Times New Roman" w:hAnsi="Times New Roman" w:cs="Times New Roman"/>
                <w:color w:val="auto"/>
                <w:szCs w:val="21"/>
                <w:highlight w:val="none"/>
              </w:rPr>
            </w:pPr>
          </w:p>
        </w:tc>
      </w:tr>
      <w:tr w14:paraId="5F69A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3EC176D8">
            <w:pPr>
              <w:topLinePunct/>
              <w:spacing w:line="440" w:lineRule="exact"/>
              <w:jc w:val="center"/>
              <w:rPr>
                <w:rFonts w:ascii="Times New Roman" w:hAnsi="Times New Roman" w:cs="Times New Roman"/>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70DB8BD1">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1AA83C4A">
            <w:pPr>
              <w:topLinePunct/>
              <w:spacing w:line="440" w:lineRule="exact"/>
              <w:jc w:val="center"/>
              <w:rPr>
                <w:rFonts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3D487017">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电子</w:t>
            </w:r>
            <w:r>
              <w:rPr>
                <w:rFonts w:hint="eastAsia" w:ascii="Times New Roman" w:hAnsi="Times New Roman" w:cs="Times New Roman"/>
                <w:color w:val="auto"/>
                <w:szCs w:val="21"/>
                <w:highlight w:val="none"/>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6F069D83">
            <w:pPr>
              <w:topLinePunct/>
              <w:spacing w:line="440" w:lineRule="exact"/>
              <w:jc w:val="center"/>
              <w:rPr>
                <w:rFonts w:ascii="Times New Roman" w:hAnsi="Times New Roman" w:cs="Times New Roman"/>
                <w:color w:val="auto"/>
                <w:szCs w:val="21"/>
                <w:highlight w:val="none"/>
              </w:rPr>
            </w:pPr>
          </w:p>
        </w:tc>
      </w:tr>
      <w:tr w14:paraId="61CDF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7E1AC323">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2B403D9C">
            <w:pPr>
              <w:topLinePunct/>
              <w:spacing w:line="440" w:lineRule="exact"/>
              <w:jc w:val="center"/>
              <w:rPr>
                <w:rFonts w:ascii="Times New Roman" w:hAnsi="Times New Roman" w:cs="Times New Roman"/>
                <w:color w:val="auto"/>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14:paraId="63605B6D">
            <w:pPr>
              <w:topLinePunct/>
              <w:spacing w:line="440" w:lineRule="exact"/>
              <w:jc w:val="center"/>
              <w:rPr>
                <w:rFonts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04C3ED91">
            <w:pPr>
              <w:topLinePunct/>
              <w:spacing w:line="440" w:lineRule="exact"/>
              <w:jc w:val="center"/>
              <w:rPr>
                <w:rFonts w:ascii="Times New Roman" w:hAnsi="Times New Roman" w:cs="Times New Roman"/>
                <w:color w:val="auto"/>
                <w:szCs w:val="21"/>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14:paraId="4102FAA5">
            <w:pPr>
              <w:topLinePunct/>
              <w:spacing w:line="440" w:lineRule="exact"/>
              <w:jc w:val="center"/>
              <w:rPr>
                <w:rFonts w:ascii="Times New Roman" w:hAnsi="Times New Roman" w:cs="Times New Roman"/>
                <w:color w:val="auto"/>
                <w:szCs w:val="21"/>
                <w:highlight w:val="none"/>
              </w:rPr>
            </w:pPr>
          </w:p>
        </w:tc>
      </w:tr>
      <w:tr w14:paraId="0930E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46E1A33">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F45440A">
            <w:pPr>
              <w:topLinePunct/>
              <w:spacing w:line="440" w:lineRule="exact"/>
              <w:jc w:val="center"/>
              <w:rPr>
                <w:rFonts w:ascii="Times New Roman" w:hAnsi="Times New Roman" w:cs="Times New Roman"/>
                <w:color w:val="auto"/>
                <w:szCs w:val="21"/>
                <w:highlight w:val="none"/>
              </w:rPr>
            </w:pPr>
          </w:p>
        </w:tc>
      </w:tr>
      <w:tr w14:paraId="41797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0010CF61">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资产构成情况及</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投资参股的</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 xml:space="preserve">    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9C60582">
            <w:pPr>
              <w:topLinePunct/>
              <w:spacing w:line="440" w:lineRule="exact"/>
              <w:rPr>
                <w:rFonts w:ascii="Times New Roman" w:hAnsi="Times New Roman" w:cs="Times New Roman"/>
                <w:color w:val="auto"/>
                <w:szCs w:val="21"/>
                <w:highlight w:val="none"/>
              </w:rPr>
            </w:pPr>
          </w:p>
          <w:p w14:paraId="37FF5BBE">
            <w:pPr>
              <w:topLinePunct/>
              <w:spacing w:line="440" w:lineRule="exact"/>
              <w:jc w:val="center"/>
              <w:rPr>
                <w:rFonts w:ascii="Times New Roman" w:hAnsi="Times New Roman" w:cs="Times New Roman"/>
                <w:color w:val="auto"/>
                <w:szCs w:val="21"/>
                <w:highlight w:val="none"/>
              </w:rPr>
            </w:pPr>
          </w:p>
          <w:p w14:paraId="1C93EC60">
            <w:pPr>
              <w:topLinePunct/>
              <w:spacing w:line="440" w:lineRule="exact"/>
              <w:rPr>
                <w:rFonts w:ascii="Times New Roman" w:hAnsi="Times New Roman" w:cs="Times New Roman"/>
                <w:color w:val="auto"/>
                <w:szCs w:val="21"/>
                <w:highlight w:val="none"/>
              </w:rPr>
            </w:pPr>
          </w:p>
        </w:tc>
      </w:tr>
      <w:tr w14:paraId="08180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22013322">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BC2DE83">
            <w:pPr>
              <w:topLinePunct/>
              <w:spacing w:line="440" w:lineRule="exact"/>
              <w:jc w:val="center"/>
              <w:rPr>
                <w:rFonts w:ascii="Times New Roman" w:hAnsi="Times New Roman" w:cs="Times New Roman"/>
                <w:color w:val="auto"/>
                <w:szCs w:val="21"/>
                <w:highlight w:val="none"/>
              </w:rPr>
            </w:pPr>
          </w:p>
        </w:tc>
      </w:tr>
    </w:tbl>
    <w:p w14:paraId="72B6CFBC">
      <w:pPr>
        <w:widowControl/>
        <w:autoSpaceDE w:val="0"/>
        <w:autoSpaceDN w:val="0"/>
        <w:spacing w:line="500" w:lineRule="atLeast"/>
        <w:ind w:left="180"/>
        <w:textAlignment w:val="bottom"/>
        <w:rPr>
          <w:rFonts w:ascii="Times New Roman" w:hAnsi="Times New Roman" w:eastAsia="黑体" w:cs="Times New Roman"/>
          <w:color w:val="auto"/>
          <w:szCs w:val="21"/>
        </w:rPr>
      </w:pPr>
      <w:r>
        <w:rPr>
          <w:rFonts w:ascii="Times New Roman" w:hAnsi="Times New Roman" w:eastAsia="仿宋_GB2312" w:cs="Times New Roman"/>
          <w:color w:val="auto"/>
          <w:sz w:val="28"/>
          <w:szCs w:val="28"/>
        </w:rPr>
        <w:t>注：在本表后应附企业法人营业执照、资质证书（如有）、授权代理证明材料（如有）及资格审查要求的其他证件复印件并加盖公章。</w:t>
      </w:r>
    </w:p>
    <w:p w14:paraId="6C16D067">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p>
    <w:p w14:paraId="62A2C96A">
      <w:pPr>
        <w:widowControl/>
        <w:rPr>
          <w:rFonts w:hint="eastAsia" w:ascii="Times New Roman" w:hAnsi="Times New Roman" w:eastAsia="黑体" w:cs="Times New Roman"/>
          <w:color w:val="auto"/>
          <w:sz w:val="28"/>
          <w:szCs w:val="28"/>
          <w:highlight w:val="none"/>
        </w:rPr>
      </w:pPr>
      <w:r>
        <w:rPr>
          <w:rFonts w:ascii="Times New Roman" w:hAnsi="Times New Roman" w:eastAsia="黑体" w:cs="Times New Roman"/>
          <w:color w:val="auto"/>
          <w:szCs w:val="21"/>
          <w:highlight w:val="none"/>
        </w:rPr>
        <w:br w:type="page"/>
      </w:r>
      <w:bookmarkStart w:id="289" w:name="_Toc19004_WPSOffice_Level1"/>
      <w:bookmarkStart w:id="290" w:name="_Toc1102_WPSOffice_Level1"/>
      <w:bookmarkStart w:id="291" w:name="_Toc3772_WPSOffice_Level1"/>
      <w:bookmarkStart w:id="292" w:name="_Toc5072_WPSOffice_Level1"/>
      <w:bookmarkStart w:id="293" w:name="_Toc18547_WPSOffice_Level1"/>
      <w:bookmarkStart w:id="294" w:name="_Toc20943_WPSOffice_Level1"/>
    </w:p>
    <w:p w14:paraId="5788A411">
      <w:pPr>
        <w:pStyle w:val="10"/>
        <w:spacing w:line="240" w:lineRule="atLeast"/>
        <w:ind w:left="560" w:leftChars="0" w:right="-512" w:rightChars="-244" w:hanging="560" w:hangingChars="200"/>
        <w:jc w:val="center"/>
        <w:rPr>
          <w:rFonts w:ascii="Times New Roman" w:hAnsi="Times New Roman" w:cs="Times New Roman"/>
          <w:color w:val="auto"/>
          <w:sz w:val="28"/>
          <w:szCs w:val="28"/>
          <w:highlight w:val="none"/>
        </w:rPr>
      </w:pPr>
      <w:r>
        <w:rPr>
          <w:rFonts w:hint="eastAsia" w:ascii="Times New Roman" w:hAnsi="Times New Roman" w:eastAsia="黑体" w:cs="Times New Roman"/>
          <w:color w:val="auto"/>
          <w:sz w:val="28"/>
          <w:szCs w:val="28"/>
          <w:highlight w:val="none"/>
        </w:rPr>
        <w:t>五</w:t>
      </w:r>
      <w:r>
        <w:rPr>
          <w:rFonts w:ascii="Times New Roman" w:hAnsi="Times New Roman" w:eastAsia="黑体" w:cs="Times New Roman"/>
          <w:color w:val="auto"/>
          <w:sz w:val="28"/>
          <w:szCs w:val="28"/>
          <w:highlight w:val="none"/>
        </w:rPr>
        <w:t>、近年类似业绩情况</w:t>
      </w:r>
      <w:bookmarkEnd w:id="289"/>
      <w:bookmarkEnd w:id="290"/>
      <w:bookmarkEnd w:id="291"/>
      <w:bookmarkEnd w:id="292"/>
      <w:bookmarkEnd w:id="293"/>
      <w:bookmarkEnd w:id="294"/>
    </w:p>
    <w:tbl>
      <w:tblPr>
        <w:tblStyle w:val="2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77BD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14:paraId="6282BC70">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项目名称</w:t>
            </w:r>
          </w:p>
        </w:tc>
        <w:tc>
          <w:tcPr>
            <w:tcW w:w="6258" w:type="dxa"/>
          </w:tcPr>
          <w:p w14:paraId="3056DF26">
            <w:pPr>
              <w:topLinePunct/>
              <w:spacing w:line="440" w:lineRule="exact"/>
              <w:rPr>
                <w:rFonts w:ascii="Times New Roman" w:hAnsi="Times New Roman" w:cs="Times New Roman"/>
                <w:color w:val="auto"/>
                <w:szCs w:val="21"/>
                <w:highlight w:val="none"/>
              </w:rPr>
            </w:pPr>
          </w:p>
        </w:tc>
      </w:tr>
      <w:tr w14:paraId="0924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vAlign w:val="center"/>
          </w:tcPr>
          <w:p w14:paraId="6CD14EDF">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项目所在地</w:t>
            </w:r>
          </w:p>
        </w:tc>
        <w:tc>
          <w:tcPr>
            <w:tcW w:w="6258" w:type="dxa"/>
          </w:tcPr>
          <w:p w14:paraId="3D6D4600">
            <w:pPr>
              <w:topLinePunct/>
              <w:spacing w:line="440" w:lineRule="exact"/>
              <w:rPr>
                <w:rFonts w:ascii="Times New Roman" w:hAnsi="Times New Roman" w:cs="Times New Roman"/>
                <w:color w:val="auto"/>
                <w:szCs w:val="21"/>
                <w:highlight w:val="none"/>
              </w:rPr>
            </w:pPr>
          </w:p>
        </w:tc>
      </w:tr>
      <w:tr w14:paraId="2540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14:paraId="1BAFA2EC">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名称</w:t>
            </w:r>
          </w:p>
        </w:tc>
        <w:tc>
          <w:tcPr>
            <w:tcW w:w="6258" w:type="dxa"/>
          </w:tcPr>
          <w:p w14:paraId="24835F63">
            <w:pPr>
              <w:topLinePunct/>
              <w:spacing w:line="440" w:lineRule="exact"/>
              <w:rPr>
                <w:rFonts w:ascii="Times New Roman" w:hAnsi="Times New Roman" w:cs="Times New Roman"/>
                <w:color w:val="auto"/>
                <w:szCs w:val="21"/>
                <w:highlight w:val="none"/>
              </w:rPr>
            </w:pPr>
          </w:p>
        </w:tc>
      </w:tr>
      <w:tr w14:paraId="2F59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14:paraId="4CA72A35">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地址</w:t>
            </w:r>
          </w:p>
        </w:tc>
        <w:tc>
          <w:tcPr>
            <w:tcW w:w="6258" w:type="dxa"/>
          </w:tcPr>
          <w:p w14:paraId="05ABA311">
            <w:pPr>
              <w:topLinePunct/>
              <w:spacing w:line="440" w:lineRule="exact"/>
              <w:rPr>
                <w:rFonts w:ascii="Times New Roman" w:hAnsi="Times New Roman" w:cs="Times New Roman"/>
                <w:color w:val="auto"/>
                <w:szCs w:val="21"/>
                <w:highlight w:val="none"/>
              </w:rPr>
            </w:pPr>
          </w:p>
        </w:tc>
      </w:tr>
      <w:tr w14:paraId="6C09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14:paraId="3991D456">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电话</w:t>
            </w:r>
          </w:p>
        </w:tc>
        <w:tc>
          <w:tcPr>
            <w:tcW w:w="6258" w:type="dxa"/>
          </w:tcPr>
          <w:p w14:paraId="42A33983">
            <w:pPr>
              <w:topLinePunct/>
              <w:spacing w:line="440" w:lineRule="exact"/>
              <w:rPr>
                <w:rFonts w:ascii="Times New Roman" w:hAnsi="Times New Roman" w:cs="Times New Roman"/>
                <w:color w:val="auto"/>
                <w:szCs w:val="21"/>
                <w:highlight w:val="none"/>
              </w:rPr>
            </w:pPr>
          </w:p>
        </w:tc>
      </w:tr>
      <w:tr w14:paraId="7C03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14:paraId="70241314">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合同价格</w:t>
            </w:r>
          </w:p>
        </w:tc>
        <w:tc>
          <w:tcPr>
            <w:tcW w:w="6258" w:type="dxa"/>
          </w:tcPr>
          <w:p w14:paraId="55F2D941">
            <w:pPr>
              <w:topLinePunct/>
              <w:spacing w:line="440" w:lineRule="exact"/>
              <w:rPr>
                <w:rFonts w:ascii="Times New Roman" w:hAnsi="Times New Roman" w:cs="Times New Roman"/>
                <w:color w:val="auto"/>
                <w:szCs w:val="21"/>
                <w:highlight w:val="none"/>
              </w:rPr>
            </w:pPr>
          </w:p>
        </w:tc>
      </w:tr>
      <w:tr w14:paraId="6005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53C99F61">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开工日期</w:t>
            </w:r>
          </w:p>
        </w:tc>
        <w:tc>
          <w:tcPr>
            <w:tcW w:w="6258" w:type="dxa"/>
          </w:tcPr>
          <w:p w14:paraId="73214EAC">
            <w:pPr>
              <w:topLinePunct/>
              <w:spacing w:line="440" w:lineRule="exact"/>
              <w:rPr>
                <w:rFonts w:ascii="Times New Roman" w:hAnsi="Times New Roman" w:cs="Times New Roman"/>
                <w:color w:val="auto"/>
                <w:szCs w:val="21"/>
                <w:highlight w:val="none"/>
              </w:rPr>
            </w:pPr>
          </w:p>
        </w:tc>
      </w:tr>
      <w:tr w14:paraId="3EB8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70" w:type="dxa"/>
            <w:vAlign w:val="center"/>
          </w:tcPr>
          <w:p w14:paraId="47DC07F9">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完成</w:t>
            </w:r>
            <w:r>
              <w:rPr>
                <w:rFonts w:ascii="Times New Roman" w:hAnsi="Times New Roman" w:cs="Times New Roman"/>
                <w:color w:val="auto"/>
                <w:szCs w:val="21"/>
                <w:highlight w:val="none"/>
              </w:rPr>
              <w:t>日期</w:t>
            </w:r>
          </w:p>
        </w:tc>
        <w:tc>
          <w:tcPr>
            <w:tcW w:w="6258" w:type="dxa"/>
          </w:tcPr>
          <w:p w14:paraId="167EDB2C">
            <w:pPr>
              <w:topLinePunct/>
              <w:spacing w:line="440" w:lineRule="exact"/>
              <w:rPr>
                <w:rFonts w:ascii="Times New Roman" w:hAnsi="Times New Roman" w:cs="Times New Roman"/>
                <w:color w:val="auto"/>
                <w:szCs w:val="21"/>
                <w:highlight w:val="none"/>
              </w:rPr>
            </w:pPr>
          </w:p>
        </w:tc>
      </w:tr>
      <w:tr w14:paraId="32BC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vAlign w:val="center"/>
          </w:tcPr>
          <w:p w14:paraId="45A15054">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承担的工作</w:t>
            </w:r>
          </w:p>
        </w:tc>
        <w:tc>
          <w:tcPr>
            <w:tcW w:w="6258" w:type="dxa"/>
          </w:tcPr>
          <w:p w14:paraId="39B554E0">
            <w:pPr>
              <w:topLinePunct/>
              <w:spacing w:line="440" w:lineRule="exact"/>
              <w:rPr>
                <w:rFonts w:ascii="Times New Roman" w:hAnsi="Times New Roman" w:cs="Times New Roman"/>
                <w:color w:val="auto"/>
                <w:szCs w:val="21"/>
                <w:highlight w:val="none"/>
              </w:rPr>
            </w:pPr>
          </w:p>
        </w:tc>
      </w:tr>
      <w:tr w14:paraId="009E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70" w:type="dxa"/>
            <w:vAlign w:val="center"/>
          </w:tcPr>
          <w:p w14:paraId="6CE9B98D">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项目</w:t>
            </w:r>
            <w:r>
              <w:rPr>
                <w:rFonts w:hint="eastAsia" w:ascii="Times New Roman" w:hAnsi="Times New Roman" w:cs="Times New Roman"/>
                <w:color w:val="auto"/>
                <w:szCs w:val="21"/>
                <w:highlight w:val="none"/>
              </w:rPr>
              <w:t>负责人</w:t>
            </w:r>
          </w:p>
        </w:tc>
        <w:tc>
          <w:tcPr>
            <w:tcW w:w="6258" w:type="dxa"/>
          </w:tcPr>
          <w:p w14:paraId="1D7C9699">
            <w:pPr>
              <w:topLinePunct/>
              <w:spacing w:line="440" w:lineRule="exact"/>
              <w:rPr>
                <w:rFonts w:ascii="Times New Roman" w:hAnsi="Times New Roman" w:cs="Times New Roman"/>
                <w:color w:val="auto"/>
                <w:szCs w:val="21"/>
                <w:highlight w:val="none"/>
              </w:rPr>
            </w:pPr>
          </w:p>
        </w:tc>
      </w:tr>
      <w:tr w14:paraId="79E3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14:paraId="2E53DA03">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项目描述</w:t>
            </w:r>
          </w:p>
        </w:tc>
        <w:tc>
          <w:tcPr>
            <w:tcW w:w="6258" w:type="dxa"/>
          </w:tcPr>
          <w:p w14:paraId="651B6E3A">
            <w:pPr>
              <w:topLinePunct/>
              <w:spacing w:line="440" w:lineRule="exact"/>
              <w:rPr>
                <w:rFonts w:ascii="Times New Roman" w:hAnsi="Times New Roman" w:cs="Times New Roman"/>
                <w:color w:val="auto"/>
                <w:szCs w:val="21"/>
                <w:highlight w:val="none"/>
              </w:rPr>
            </w:pPr>
          </w:p>
        </w:tc>
      </w:tr>
      <w:tr w14:paraId="14AA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6F318D89">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备注</w:t>
            </w:r>
          </w:p>
        </w:tc>
        <w:tc>
          <w:tcPr>
            <w:tcW w:w="6258" w:type="dxa"/>
          </w:tcPr>
          <w:p w14:paraId="3CBA437B">
            <w:pPr>
              <w:topLinePunct/>
              <w:spacing w:line="440" w:lineRule="exact"/>
              <w:rPr>
                <w:rFonts w:ascii="Times New Roman" w:hAnsi="Times New Roman" w:cs="Times New Roman"/>
                <w:color w:val="auto"/>
                <w:szCs w:val="21"/>
                <w:highlight w:val="none"/>
              </w:rPr>
            </w:pPr>
          </w:p>
        </w:tc>
      </w:tr>
    </w:tbl>
    <w:p w14:paraId="50E42390">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highlight w:val="none"/>
        </w:rPr>
      </w:pPr>
      <w:r>
        <w:rPr>
          <w:rFonts w:ascii="Times New Roman" w:hAnsi="Times New Roman" w:eastAsia="黑体" w:cs="Times New Roman"/>
          <w:color w:val="auto"/>
          <w:sz w:val="20"/>
          <w:szCs w:val="20"/>
          <w:highlight w:val="none"/>
        </w:rPr>
        <w:t>注：</w:t>
      </w:r>
    </w:p>
    <w:p w14:paraId="2DF5F6B0">
      <w:pPr>
        <w:widowControl/>
        <w:numPr>
          <w:ilvl w:val="0"/>
          <w:numId w:val="6"/>
        </w:numPr>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r>
        <w:rPr>
          <w:rFonts w:ascii="Times New Roman" w:hAnsi="Times New Roman" w:eastAsia="黑体" w:cs="Times New Roman"/>
          <w:color w:val="auto"/>
          <w:szCs w:val="21"/>
          <w:highlight w:val="none"/>
        </w:rPr>
        <w:t>每张表格只填写一个项目，并标明序号。</w:t>
      </w:r>
    </w:p>
    <w:p w14:paraId="379F75F2">
      <w:pPr>
        <w:widowControl/>
        <w:numPr>
          <w:ilvl w:val="0"/>
          <w:numId w:val="6"/>
        </w:numPr>
        <w:autoSpaceDE w:val="0"/>
        <w:autoSpaceDN w:val="0"/>
        <w:spacing w:line="360" w:lineRule="atLeast"/>
        <w:ind w:left="420" w:leftChars="200"/>
        <w:textAlignment w:val="bottom"/>
        <w:rPr>
          <w:rFonts w:ascii="Times New Roman" w:hAnsi="Times New Roman" w:cs="Times New Roman"/>
          <w:color w:val="auto"/>
          <w:szCs w:val="22"/>
          <w:highlight w:val="none"/>
        </w:rPr>
      </w:pPr>
      <w:r>
        <w:rPr>
          <w:rFonts w:ascii="Times New Roman" w:hAnsi="Times New Roman" w:cs="Times New Roman"/>
          <w:color w:val="auto"/>
          <w:szCs w:val="22"/>
          <w:highlight w:val="none"/>
        </w:rPr>
        <w:t>业绩最低要求：</w:t>
      </w:r>
    </w:p>
    <w:p w14:paraId="616C1906">
      <w:pPr>
        <w:snapToGrid w:val="0"/>
        <w:spacing w:line="440" w:lineRule="exact"/>
        <w:ind w:firstLine="420" w:firstLineChars="200"/>
        <w:rPr>
          <w:color w:val="auto"/>
        </w:rPr>
      </w:pPr>
      <w:r>
        <w:rPr>
          <w:rFonts w:hint="eastAsia" w:ascii="Times New Roman" w:hAnsi="Times New Roman" w:cs="Times New Roman"/>
          <w:color w:val="auto"/>
          <w:szCs w:val="22"/>
          <w:highlight w:val="none"/>
        </w:rPr>
        <w:t>近</w:t>
      </w:r>
      <w:r>
        <w:rPr>
          <w:rFonts w:hint="eastAsia"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w:t>
      </w:r>
      <w:r>
        <w:rPr>
          <w:rFonts w:hint="eastAsia"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rPr>
        <w:t>年</w:t>
      </w:r>
      <w:r>
        <w:rPr>
          <w:rFonts w:hint="eastAsia" w:ascii="Times New Roman" w:hAnsi="Times New Roman" w:cs="Times New Roman"/>
          <w:color w:val="auto"/>
          <w:szCs w:val="22"/>
          <w:highlight w:val="none"/>
          <w:lang w:eastAsia="zh-CN"/>
        </w:rPr>
        <w:t>【</w:t>
      </w:r>
      <w:r>
        <w:rPr>
          <w:rFonts w:hint="eastAsia" w:ascii="Times New Roman" w:hAnsi="Times New Roman" w:cs="Times New Roman"/>
          <w:color w:val="auto"/>
          <w:szCs w:val="22"/>
          <w:highlight w:val="none"/>
        </w:rPr>
        <w:t>指</w:t>
      </w:r>
      <w:r>
        <w:rPr>
          <w:rFonts w:hint="eastAsia" w:ascii="Times New Roman" w:hAnsi="Times New Roman" w:cs="Times New Roman"/>
          <w:color w:val="auto"/>
          <w:szCs w:val="22"/>
          <w:highlight w:val="none"/>
          <w:u w:val="single"/>
        </w:rPr>
        <w:t xml:space="preserve"> 202</w:t>
      </w:r>
      <w:r>
        <w:rPr>
          <w:rFonts w:hint="eastAsia" w:ascii="Times New Roman" w:hAnsi="Times New Roman" w:cs="Times New Roman"/>
          <w:color w:val="auto"/>
          <w:szCs w:val="22"/>
          <w:highlight w:val="none"/>
          <w:u w:val="single"/>
          <w:lang w:val="en-US" w:eastAsia="zh-CN"/>
        </w:rPr>
        <w:t>2</w:t>
      </w:r>
      <w:r>
        <w:rPr>
          <w:rFonts w:hint="eastAsia"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11</w:t>
      </w:r>
      <w:r>
        <w:rPr>
          <w:rFonts w:hint="eastAsia"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1</w:t>
      </w:r>
      <w:r>
        <w:rPr>
          <w:rFonts w:hint="eastAsia" w:ascii="Times New Roman" w:hAnsi="Times New Roman" w:cs="Times New Roman"/>
          <w:color w:val="auto"/>
          <w:szCs w:val="22"/>
          <w:highlight w:val="none"/>
        </w:rPr>
        <w:t>日至响应文件递交截止日期，以</w:t>
      </w:r>
      <w:r>
        <w:rPr>
          <w:rFonts w:hint="eastAsia" w:ascii="Times New Roman" w:hAnsi="Times New Roman" w:cs="Times New Roman"/>
          <w:color w:val="auto"/>
          <w:szCs w:val="22"/>
          <w:highlight w:val="none"/>
          <w:u w:val="single"/>
          <w:lang w:val="en-US" w:eastAsia="zh-CN"/>
        </w:rPr>
        <w:t>与</w:t>
      </w:r>
      <w:r>
        <w:rPr>
          <w:rFonts w:hint="eastAsia" w:ascii="Times New Roman" w:hAnsi="Times New Roman" w:cs="Times New Roman"/>
          <w:color w:val="auto"/>
          <w:szCs w:val="22"/>
          <w:highlight w:val="none"/>
          <w:u w:val="single"/>
        </w:rPr>
        <w:t>委托方签订的合同协议书上载明的时间为准</w:t>
      </w:r>
      <w:r>
        <w:rPr>
          <w:rFonts w:hint="eastAsia" w:ascii="Times New Roman" w:hAnsi="Times New Roman" w:cs="Times New Roman"/>
          <w:color w:val="auto"/>
          <w:szCs w:val="22"/>
          <w:highlight w:val="none"/>
          <w:u w:val="single"/>
          <w:lang w:eastAsia="zh-CN"/>
        </w:rPr>
        <w:t>】</w:t>
      </w:r>
      <w:r>
        <w:rPr>
          <w:rFonts w:hint="eastAsia" w:ascii="Times New Roman" w:hAnsi="Times New Roman" w:cs="Times New Roman"/>
          <w:color w:val="auto"/>
          <w:szCs w:val="22"/>
          <w:highlight w:val="none"/>
        </w:rPr>
        <w:t>具备</w:t>
      </w:r>
      <w:r>
        <w:rPr>
          <w:rFonts w:ascii="Times New Roman" w:hAnsi="Times New Roman" w:cs="Times New Roman"/>
          <w:color w:val="auto"/>
          <w:u w:val="single"/>
        </w:rPr>
        <w:t xml:space="preserve"> 1个</w:t>
      </w:r>
      <w:r>
        <w:rPr>
          <w:rFonts w:hint="eastAsia" w:ascii="Times New Roman" w:hAnsi="Times New Roman" w:cs="Times New Roman"/>
          <w:color w:val="auto"/>
          <w:u w:val="single"/>
        </w:rPr>
        <w:t xml:space="preserve">100 </w:t>
      </w:r>
      <w:r>
        <w:rPr>
          <w:rFonts w:ascii="Times New Roman" w:hAnsi="Times New Roman" w:cs="Times New Roman"/>
          <w:color w:val="auto"/>
          <w:u w:val="single"/>
        </w:rPr>
        <w:t>万元及以上</w:t>
      </w:r>
      <w:r>
        <w:rPr>
          <w:rFonts w:hint="eastAsia" w:ascii="Times New Roman" w:hAnsi="Times New Roman" w:cs="Times New Roman"/>
          <w:color w:val="auto"/>
          <w:szCs w:val="22"/>
          <w:highlight w:val="none"/>
          <w:u w:val="single"/>
          <w:lang w:val="en-US" w:eastAsia="zh-CN"/>
        </w:rPr>
        <w:t>的家具</w:t>
      </w:r>
      <w:r>
        <w:rPr>
          <w:rFonts w:hint="eastAsia" w:ascii="Times New Roman" w:hAnsi="Times New Roman" w:cs="Times New Roman"/>
          <w:color w:val="auto"/>
          <w:szCs w:val="22"/>
          <w:highlight w:val="none"/>
        </w:rPr>
        <w:t>套装</w:t>
      </w:r>
      <w:r>
        <w:rPr>
          <w:rFonts w:hint="eastAsia" w:ascii="Times New Roman" w:hAnsi="Times New Roman" w:cs="Times New Roman"/>
          <w:color w:val="auto"/>
          <w:szCs w:val="22"/>
          <w:highlight w:val="none"/>
          <w:lang w:val="en-US" w:eastAsia="zh-CN"/>
        </w:rPr>
        <w:t>供货安装</w:t>
      </w:r>
      <w:r>
        <w:rPr>
          <w:rFonts w:hint="eastAsia" w:ascii="Times New Roman" w:hAnsi="Times New Roman" w:cs="Times New Roman"/>
          <w:color w:val="auto"/>
          <w:szCs w:val="22"/>
          <w:highlight w:val="none"/>
          <w:u w:val="single"/>
          <w:lang w:val="en-US" w:eastAsia="zh-CN"/>
        </w:rPr>
        <w:t>等类似业绩（</w:t>
      </w:r>
      <w:r>
        <w:rPr>
          <w:rFonts w:hint="eastAsia" w:ascii="Times New Roman" w:hAnsi="Times New Roman" w:cs="Times New Roman"/>
          <w:color w:val="auto"/>
          <w:szCs w:val="22"/>
          <w:highlight w:val="none"/>
          <w:u w:val="single"/>
        </w:rPr>
        <w:t>业绩证明须提供含合同签订日期或合同中载明的服务日期、服务范围、合同双方盖章签署页的复印件，并加盖公章</w:t>
      </w:r>
      <w:r>
        <w:rPr>
          <w:rFonts w:hint="eastAsia" w:ascii="Times New Roman" w:hAnsi="Times New Roman" w:cs="Times New Roman"/>
          <w:color w:val="auto"/>
          <w:szCs w:val="22"/>
          <w:highlight w:val="none"/>
          <w:u w:val="single"/>
          <w:lang w:eastAsia="zh-CN"/>
        </w:rPr>
        <w:t>）</w:t>
      </w:r>
    </w:p>
    <w:p w14:paraId="40FA8272">
      <w:pPr>
        <w:widowControl/>
        <w:autoSpaceDE w:val="0"/>
        <w:autoSpaceDN w:val="0"/>
        <w:spacing w:line="360" w:lineRule="atLeast"/>
        <w:ind w:left="420" w:leftChars="200"/>
        <w:textAlignment w:val="bottom"/>
        <w:rPr>
          <w:rFonts w:ascii="Times New Roman" w:hAnsi="Times New Roman" w:eastAsia="黑体" w:cs="Times New Roman"/>
          <w:color w:val="auto"/>
          <w:sz w:val="27"/>
          <w:szCs w:val="27"/>
          <w:highlight w:val="none"/>
        </w:rPr>
      </w:pPr>
      <w:r>
        <w:rPr>
          <w:rFonts w:hint="eastAsia" w:ascii="Times New Roman" w:hAnsi="Times New Roman" w:eastAsia="黑体" w:cs="Times New Roman"/>
          <w:color w:val="auto"/>
          <w:szCs w:val="21"/>
          <w:highlight w:val="none"/>
        </w:rPr>
        <w:t>3、</w:t>
      </w:r>
      <w:r>
        <w:rPr>
          <w:rFonts w:ascii="Times New Roman" w:hAnsi="Times New Roman" w:eastAsia="黑体" w:cs="Times New Roman"/>
          <w:color w:val="auto"/>
          <w:szCs w:val="21"/>
          <w:highlight w:val="none"/>
        </w:rPr>
        <w:t>如近年来，供应商法人机构发生合法变更或重组或法人名称变更时，应提供相关部门的合法批件或其他相关证明材料来证明其所附业绩的继承性。</w:t>
      </w:r>
    </w:p>
    <w:p w14:paraId="4EC16107">
      <w:pPr>
        <w:pStyle w:val="2"/>
        <w:rPr>
          <w:rFonts w:ascii="Times New Roman" w:hAnsi="Times New Roman"/>
          <w:color w:val="auto"/>
          <w:highlight w:val="none"/>
        </w:rPr>
      </w:pPr>
    </w:p>
    <w:p w14:paraId="64CBFCCD">
      <w:pPr>
        <w:topLinePunct/>
        <w:spacing w:line="340" w:lineRule="atLeast"/>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8"/>
          <w:szCs w:val="28"/>
          <w:highlight w:val="none"/>
        </w:rPr>
        <w:br w:type="page"/>
      </w:r>
    </w:p>
    <w:p w14:paraId="666F0206">
      <w:pPr>
        <w:widowControl/>
        <w:autoSpaceDE w:val="0"/>
        <w:autoSpaceDN w:val="0"/>
        <w:spacing w:line="360" w:lineRule="atLeast"/>
        <w:ind w:left="180"/>
        <w:jc w:val="center"/>
        <w:textAlignment w:val="bottom"/>
        <w:rPr>
          <w:rFonts w:ascii="Times New Roman" w:hAnsi="Times New Roman" w:eastAsia="黑体" w:cs="Times New Roman"/>
          <w:color w:val="auto"/>
          <w:sz w:val="28"/>
          <w:szCs w:val="28"/>
          <w:highlight w:val="none"/>
        </w:rPr>
      </w:pPr>
      <w:bookmarkStart w:id="295" w:name="_Toc29313_WPSOffice_Level1"/>
      <w:bookmarkStart w:id="296" w:name="_Toc18931_WPSOffice_Level1"/>
      <w:bookmarkStart w:id="297" w:name="_Toc16156_WPSOffice_Level1"/>
      <w:bookmarkStart w:id="298" w:name="_Toc8166_WPSOffice_Level1"/>
      <w:bookmarkStart w:id="299" w:name="_Toc24001_WPSOffice_Level1"/>
      <w:bookmarkStart w:id="300" w:name="_Toc4739_WPSOffice_Level1"/>
      <w:r>
        <w:rPr>
          <w:rFonts w:hint="eastAsia" w:ascii="Times New Roman" w:hAnsi="Times New Roman" w:eastAsia="黑体" w:cs="Times New Roman"/>
          <w:color w:val="auto"/>
          <w:sz w:val="28"/>
          <w:szCs w:val="28"/>
          <w:highlight w:val="none"/>
        </w:rPr>
        <w:t>六</w:t>
      </w:r>
      <w:r>
        <w:rPr>
          <w:rFonts w:ascii="Times New Roman" w:hAnsi="Times New Roman" w:eastAsia="黑体" w:cs="Times New Roman"/>
          <w:color w:val="auto"/>
          <w:sz w:val="28"/>
          <w:szCs w:val="28"/>
          <w:highlight w:val="none"/>
        </w:rPr>
        <w:t>、拟委</w:t>
      </w:r>
      <w:r>
        <w:rPr>
          <w:rFonts w:hint="eastAsia" w:ascii="Times New Roman" w:hAnsi="Times New Roman" w:eastAsia="黑体" w:cs="Times New Roman"/>
          <w:color w:val="auto"/>
          <w:sz w:val="28"/>
          <w:szCs w:val="28"/>
          <w:highlight w:val="none"/>
          <w:lang w:val="en-US" w:eastAsia="zh-CN"/>
        </w:rPr>
        <w:t>派</w:t>
      </w:r>
      <w:r>
        <w:rPr>
          <w:rFonts w:ascii="Times New Roman" w:hAnsi="Times New Roman" w:eastAsia="黑体" w:cs="Times New Roman"/>
          <w:color w:val="auto"/>
          <w:sz w:val="28"/>
          <w:szCs w:val="28"/>
          <w:highlight w:val="none"/>
        </w:rPr>
        <w:t>的主要人</w:t>
      </w:r>
      <w:bookmarkEnd w:id="295"/>
      <w:r>
        <w:rPr>
          <w:rFonts w:ascii="Times New Roman" w:hAnsi="Times New Roman" w:eastAsia="黑体" w:cs="Times New Roman"/>
          <w:color w:val="auto"/>
          <w:sz w:val="28"/>
          <w:szCs w:val="28"/>
          <w:highlight w:val="none"/>
        </w:rPr>
        <w:t>员</w:t>
      </w:r>
      <w:bookmarkEnd w:id="296"/>
      <w:bookmarkEnd w:id="297"/>
      <w:bookmarkEnd w:id="298"/>
      <w:bookmarkEnd w:id="299"/>
      <w:bookmarkEnd w:id="300"/>
    </w:p>
    <w:p w14:paraId="516F560E">
      <w:pPr>
        <w:pStyle w:val="2"/>
        <w:widowControl/>
        <w:autoSpaceDE w:val="0"/>
        <w:autoSpaceDN w:val="0"/>
        <w:spacing w:line="360" w:lineRule="atLeast"/>
        <w:ind w:left="180"/>
        <w:jc w:val="center"/>
        <w:textAlignment w:val="bottom"/>
        <w:rPr>
          <w:rFonts w:ascii="Times New Roman" w:hAnsi="Times New Roman" w:eastAsia="黑体" w:cs="Times New Roman"/>
          <w:color w:val="auto"/>
          <w:sz w:val="28"/>
          <w:szCs w:val="28"/>
          <w:highlight w:val="none"/>
        </w:rPr>
      </w:pPr>
      <w:bookmarkStart w:id="301" w:name="_Toc24686_WPSOffice_Level2"/>
      <w:bookmarkStart w:id="302" w:name="_Toc6185_WPSOffice_Level2"/>
      <w:r>
        <w:rPr>
          <w:rFonts w:ascii="Times New Roman" w:hAnsi="Times New Roman" w:eastAsia="黑体" w:cs="Times New Roman"/>
          <w:color w:val="auto"/>
          <w:sz w:val="28"/>
          <w:szCs w:val="28"/>
          <w:highlight w:val="none"/>
        </w:rPr>
        <w:t>拟委</w:t>
      </w:r>
      <w:r>
        <w:rPr>
          <w:rFonts w:hint="eastAsia" w:ascii="Times New Roman" w:hAnsi="Times New Roman" w:eastAsia="黑体" w:cs="Times New Roman"/>
          <w:color w:val="auto"/>
          <w:sz w:val="28"/>
          <w:szCs w:val="28"/>
          <w:highlight w:val="none"/>
          <w:lang w:val="en-US" w:eastAsia="zh-CN"/>
        </w:rPr>
        <w:t>派</w:t>
      </w:r>
      <w:r>
        <w:rPr>
          <w:rFonts w:ascii="Times New Roman" w:hAnsi="Times New Roman" w:eastAsia="黑体" w:cs="Times New Roman"/>
          <w:color w:val="auto"/>
          <w:sz w:val="28"/>
          <w:szCs w:val="28"/>
          <w:highlight w:val="none"/>
        </w:rPr>
        <w:t>的</w:t>
      </w:r>
      <w:r>
        <w:rPr>
          <w:rFonts w:hint="eastAsia" w:ascii="Times New Roman" w:hAnsi="Times New Roman" w:eastAsia="黑体" w:cs="Times New Roman"/>
          <w:color w:val="auto"/>
          <w:sz w:val="28"/>
          <w:szCs w:val="28"/>
          <w:highlight w:val="none"/>
        </w:rPr>
        <w:t>主要人员</w:t>
      </w:r>
      <w:r>
        <w:rPr>
          <w:rFonts w:ascii="Times New Roman" w:hAnsi="Times New Roman" w:eastAsia="黑体" w:cs="Times New Roman"/>
          <w:color w:val="auto"/>
          <w:sz w:val="28"/>
          <w:szCs w:val="28"/>
          <w:highlight w:val="none"/>
        </w:rPr>
        <w:t>资历表</w:t>
      </w:r>
      <w:bookmarkEnd w:id="301"/>
      <w:bookmarkEnd w:id="302"/>
    </w:p>
    <w:tbl>
      <w:tblPr>
        <w:tblStyle w:val="21"/>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14:paraId="3E0F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14:paraId="438E8C7F">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姓    名</w:t>
            </w:r>
          </w:p>
        </w:tc>
        <w:tc>
          <w:tcPr>
            <w:tcW w:w="1440" w:type="dxa"/>
            <w:gridSpan w:val="2"/>
            <w:vAlign w:val="center"/>
          </w:tcPr>
          <w:p w14:paraId="2759AA83">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016" w:type="dxa"/>
            <w:vAlign w:val="center"/>
          </w:tcPr>
          <w:p w14:paraId="4458BA67">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年    龄</w:t>
            </w:r>
          </w:p>
        </w:tc>
        <w:tc>
          <w:tcPr>
            <w:tcW w:w="1322" w:type="dxa"/>
            <w:vAlign w:val="center"/>
          </w:tcPr>
          <w:p w14:paraId="5EE9DFD3">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01" w:type="dxa"/>
            <w:gridSpan w:val="2"/>
            <w:vAlign w:val="center"/>
          </w:tcPr>
          <w:p w14:paraId="2C7DD9A8">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专    业</w:t>
            </w:r>
          </w:p>
        </w:tc>
        <w:tc>
          <w:tcPr>
            <w:tcW w:w="1598" w:type="dxa"/>
            <w:gridSpan w:val="2"/>
            <w:vAlign w:val="center"/>
          </w:tcPr>
          <w:p w14:paraId="26189871">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5A62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14:paraId="2ED18FD8">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职    称</w:t>
            </w:r>
          </w:p>
        </w:tc>
        <w:tc>
          <w:tcPr>
            <w:tcW w:w="1440" w:type="dxa"/>
            <w:gridSpan w:val="2"/>
            <w:vAlign w:val="center"/>
          </w:tcPr>
          <w:p w14:paraId="3E5B6588">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016" w:type="dxa"/>
            <w:vAlign w:val="center"/>
          </w:tcPr>
          <w:p w14:paraId="208F8DEE">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职    务</w:t>
            </w:r>
          </w:p>
        </w:tc>
        <w:tc>
          <w:tcPr>
            <w:tcW w:w="1322" w:type="dxa"/>
            <w:vAlign w:val="center"/>
          </w:tcPr>
          <w:p w14:paraId="68C8AE3D">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01" w:type="dxa"/>
            <w:gridSpan w:val="2"/>
            <w:vAlign w:val="center"/>
          </w:tcPr>
          <w:p w14:paraId="1FD44D59">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拟在本项目</w:t>
            </w:r>
          </w:p>
          <w:p w14:paraId="61C79153">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担任职务</w:t>
            </w:r>
          </w:p>
        </w:tc>
        <w:tc>
          <w:tcPr>
            <w:tcW w:w="1598" w:type="dxa"/>
            <w:gridSpan w:val="2"/>
            <w:vAlign w:val="center"/>
          </w:tcPr>
          <w:p w14:paraId="16FE0B21">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6FEA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14:paraId="63BB2768">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经              历</w:t>
            </w:r>
          </w:p>
        </w:tc>
      </w:tr>
      <w:tr w14:paraId="0E47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14:paraId="6B727D5E">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ascii="Times New Roman" w:hAnsi="Times New Roman" w:cs="Times New Roman"/>
                <w:color w:val="auto"/>
                <w:szCs w:val="21"/>
                <w:highlight w:val="none"/>
              </w:rPr>
              <w:t>__年~__年</w:t>
            </w:r>
          </w:p>
        </w:tc>
        <w:tc>
          <w:tcPr>
            <w:tcW w:w="4053" w:type="dxa"/>
            <w:gridSpan w:val="4"/>
            <w:vAlign w:val="center"/>
          </w:tcPr>
          <w:p w14:paraId="302C9D72">
            <w:pPr>
              <w:pStyle w:val="32"/>
              <w:widowControl/>
              <w:adjustRightInd/>
              <w:snapToGrid/>
              <w:spacing w:before="40" w:after="40" w:line="280" w:lineRule="atLeast"/>
              <w:textAlignment w:val="bottom"/>
              <w:rPr>
                <w:rFonts w:ascii="Times New Roman" w:hAnsi="Times New Roman" w:cs="Times New Roman"/>
                <w:color w:val="auto"/>
                <w:spacing w:val="0"/>
                <w:kern w:val="2"/>
                <w:szCs w:val="21"/>
                <w:highlight w:val="none"/>
              </w:rPr>
            </w:pPr>
            <w:r>
              <w:rPr>
                <w:rFonts w:ascii="Times New Roman" w:hAnsi="Times New Roman" w:cs="Times New Roman"/>
                <w:color w:val="auto"/>
                <w:spacing w:val="0"/>
                <w:kern w:val="2"/>
                <w:szCs w:val="21"/>
                <w:highlight w:val="none"/>
              </w:rPr>
              <w:t>参加过的</w:t>
            </w:r>
            <w:r>
              <w:rPr>
                <w:rFonts w:hint="eastAsia" w:ascii="Times New Roman" w:hAnsi="Times New Roman" w:cs="Times New Roman"/>
                <w:color w:val="auto"/>
                <w:spacing w:val="0"/>
                <w:kern w:val="2"/>
                <w:szCs w:val="21"/>
                <w:highlight w:val="none"/>
              </w:rPr>
              <w:t>类似</w:t>
            </w:r>
            <w:r>
              <w:rPr>
                <w:rFonts w:ascii="Times New Roman" w:hAnsi="Times New Roman" w:cs="Times New Roman"/>
                <w:color w:val="auto"/>
                <w:spacing w:val="0"/>
                <w:kern w:val="2"/>
                <w:szCs w:val="21"/>
                <w:highlight w:val="none"/>
              </w:rPr>
              <w:t>项目名称</w:t>
            </w:r>
          </w:p>
        </w:tc>
        <w:tc>
          <w:tcPr>
            <w:tcW w:w="1847" w:type="dxa"/>
            <w:gridSpan w:val="2"/>
            <w:vAlign w:val="center"/>
          </w:tcPr>
          <w:p w14:paraId="1C8DD78C">
            <w:pPr>
              <w:pStyle w:val="32"/>
              <w:widowControl/>
              <w:adjustRightInd/>
              <w:snapToGrid/>
              <w:spacing w:before="40" w:after="40" w:line="280" w:lineRule="atLeast"/>
              <w:textAlignment w:val="bottom"/>
              <w:rPr>
                <w:rFonts w:ascii="Times New Roman" w:hAnsi="Times New Roman" w:cs="Times New Roman"/>
                <w:color w:val="auto"/>
                <w:spacing w:val="0"/>
                <w:kern w:val="2"/>
                <w:szCs w:val="21"/>
                <w:highlight w:val="none"/>
              </w:rPr>
            </w:pPr>
            <w:r>
              <w:rPr>
                <w:rFonts w:ascii="Times New Roman" w:hAnsi="Times New Roman" w:cs="Times New Roman"/>
                <w:color w:val="auto"/>
                <w:spacing w:val="0"/>
                <w:kern w:val="2"/>
                <w:szCs w:val="21"/>
                <w:highlight w:val="none"/>
              </w:rPr>
              <w:t>担任何职</w:t>
            </w:r>
          </w:p>
        </w:tc>
        <w:tc>
          <w:tcPr>
            <w:tcW w:w="1229" w:type="dxa"/>
            <w:vAlign w:val="center"/>
          </w:tcPr>
          <w:p w14:paraId="429AA033">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及</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 xml:space="preserve">   联系电话</w:t>
            </w:r>
          </w:p>
        </w:tc>
      </w:tr>
      <w:tr w14:paraId="2747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2798A32D">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613871C7">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3CB508D6">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268CF20C">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72F3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2554AFAF">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0F985EAF">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166D6F98">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0FEF5AA2">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21A2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34380E35">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7B3AD2D7">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1C24DABB">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1E2C0257">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5420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59AC35DE">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71B21802">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6E1D8486">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020F742D">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r w14:paraId="1859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14:paraId="54338EC2">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4053" w:type="dxa"/>
            <w:gridSpan w:val="4"/>
            <w:vAlign w:val="center"/>
          </w:tcPr>
          <w:p w14:paraId="35C1302E">
            <w:pPr>
              <w:widowControl/>
              <w:autoSpaceDE w:val="0"/>
              <w:autoSpaceDN w:val="0"/>
              <w:spacing w:before="40" w:after="40" w:line="280" w:lineRule="atLeast"/>
              <w:jc w:val="center"/>
              <w:textAlignment w:val="bottom"/>
              <w:rPr>
                <w:rFonts w:ascii="Times New Roman" w:hAnsi="Times New Roman" w:cs="Times New Roman"/>
                <w:color w:val="auto"/>
                <w:szCs w:val="21"/>
                <w:highlight w:val="none"/>
              </w:rPr>
            </w:pPr>
          </w:p>
        </w:tc>
        <w:tc>
          <w:tcPr>
            <w:tcW w:w="1847" w:type="dxa"/>
            <w:gridSpan w:val="2"/>
            <w:vAlign w:val="center"/>
          </w:tcPr>
          <w:p w14:paraId="47160124">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c>
          <w:tcPr>
            <w:tcW w:w="1229" w:type="dxa"/>
            <w:vAlign w:val="center"/>
          </w:tcPr>
          <w:p w14:paraId="6CCC041E">
            <w:pPr>
              <w:widowControl/>
              <w:autoSpaceDE w:val="0"/>
              <w:autoSpaceDN w:val="0"/>
              <w:spacing w:before="40" w:after="40" w:line="280" w:lineRule="atLeast"/>
              <w:textAlignment w:val="bottom"/>
              <w:rPr>
                <w:rFonts w:ascii="Times New Roman" w:hAnsi="Times New Roman" w:cs="Times New Roman"/>
                <w:color w:val="auto"/>
                <w:szCs w:val="21"/>
                <w:highlight w:val="none"/>
              </w:rPr>
            </w:pPr>
          </w:p>
        </w:tc>
      </w:tr>
    </w:tbl>
    <w:p w14:paraId="1198445C">
      <w:pPr>
        <w:pStyle w:val="10"/>
        <w:spacing w:line="240" w:lineRule="atLeast"/>
        <w:ind w:left="0" w:leftChars="0"/>
        <w:rPr>
          <w:rFonts w:ascii="Times New Roman" w:hAnsi="Times New Roman" w:cs="Times New Roman"/>
          <w:color w:val="auto"/>
          <w:sz w:val="20"/>
          <w:szCs w:val="20"/>
          <w:highlight w:val="none"/>
        </w:rPr>
      </w:pPr>
      <w:r>
        <w:rPr>
          <w:rFonts w:ascii="Times New Roman" w:hAnsi="Times New Roman" w:eastAsia="黑体" w:cs="Times New Roman"/>
          <w:color w:val="auto"/>
          <w:szCs w:val="21"/>
          <w:highlight w:val="none"/>
        </w:rPr>
        <w:t>注：</w:t>
      </w:r>
    </w:p>
    <w:p w14:paraId="322ECA85">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ascii="Times New Roman" w:hAnsi="Times New Roman" w:eastAsia="黑体" w:cs="Times New Roman"/>
          <w:color w:val="auto"/>
          <w:szCs w:val="21"/>
        </w:rPr>
        <w:t>1、一个人员对应填写一张本资历表。</w:t>
      </w:r>
    </w:p>
    <w:p w14:paraId="37341BB2">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2、</w:t>
      </w:r>
      <w:r>
        <w:rPr>
          <w:rFonts w:ascii="Times New Roman" w:hAnsi="Times New Roman" w:eastAsia="黑体" w:cs="Times New Roman"/>
          <w:color w:val="auto"/>
          <w:szCs w:val="21"/>
        </w:rPr>
        <w:t>在本表后应附有其有效的身份证复印件。所有证件的扫描件均应清晰可辨，否则，将被认为证书无效。</w:t>
      </w:r>
    </w:p>
    <w:p w14:paraId="7D5A53CD">
      <w:pPr>
        <w:pStyle w:val="2"/>
        <w:rPr>
          <w:color w:val="auto"/>
        </w:rPr>
      </w:pPr>
    </w:p>
    <w:p w14:paraId="139C1855">
      <w:pPr>
        <w:pStyle w:val="10"/>
        <w:spacing w:after="0" w:line="240" w:lineRule="atLeast"/>
        <w:ind w:left="630" w:leftChars="100" w:hanging="420" w:hangingChars="200"/>
        <w:rPr>
          <w:rFonts w:ascii="Times New Roman" w:hAnsi="Times New Roman" w:cs="Times New Roman"/>
          <w:bCs/>
          <w:color w:val="auto"/>
          <w:kern w:val="0"/>
          <w:sz w:val="20"/>
          <w:szCs w:val="20"/>
          <w:highlight w:val="none"/>
        </w:rPr>
      </w:pPr>
      <w:r>
        <w:rPr>
          <w:rFonts w:ascii="Times New Roman" w:hAnsi="Times New Roman" w:eastAsia="黑体" w:cs="Times New Roman"/>
          <w:bCs/>
          <w:color w:val="auto"/>
          <w:kern w:val="0"/>
          <w:szCs w:val="21"/>
          <w:highlight w:val="none"/>
        </w:rPr>
        <w:br w:type="page"/>
      </w:r>
    </w:p>
    <w:p w14:paraId="57FAAB5B">
      <w:pPr>
        <w:tabs>
          <w:tab w:val="left" w:pos="3060"/>
        </w:tabs>
        <w:topLinePunct/>
        <w:spacing w:line="440" w:lineRule="exact"/>
        <w:jc w:val="center"/>
        <w:rPr>
          <w:rFonts w:ascii="Times New Roman" w:hAnsi="Times New Roman" w:eastAsia="黑体" w:cs="Times New Roman"/>
          <w:color w:val="auto"/>
          <w:sz w:val="28"/>
          <w:szCs w:val="28"/>
          <w:highlight w:val="none"/>
        </w:rPr>
      </w:pPr>
      <w:bookmarkStart w:id="303" w:name="_Toc12019_WPSOffice_Level1"/>
      <w:bookmarkStart w:id="304" w:name="_Toc9267_WPSOffice_Level1"/>
      <w:bookmarkStart w:id="305" w:name="_Toc5403_WPSOffice_Level1"/>
      <w:bookmarkStart w:id="306" w:name="_Toc3893_WPSOffice_Level1"/>
      <w:bookmarkStart w:id="307" w:name="_Toc32222_WPSOffice_Level1"/>
      <w:bookmarkStart w:id="308" w:name="_Toc8691_WPSOffice_Level1"/>
      <w:r>
        <w:rPr>
          <w:rFonts w:hint="eastAsia" w:ascii="Times New Roman" w:hAnsi="Times New Roman" w:eastAsia="黑体" w:cs="Times New Roman"/>
          <w:color w:val="auto"/>
          <w:sz w:val="28"/>
          <w:szCs w:val="28"/>
          <w:highlight w:val="none"/>
        </w:rPr>
        <w:t>七</w:t>
      </w:r>
      <w:r>
        <w:rPr>
          <w:rFonts w:ascii="Times New Roman" w:hAnsi="Times New Roman" w:eastAsia="黑体" w:cs="Times New Roman"/>
          <w:color w:val="auto"/>
          <w:sz w:val="28"/>
          <w:szCs w:val="28"/>
          <w:highlight w:val="none"/>
        </w:rPr>
        <w:t>、</w:t>
      </w:r>
      <w:r>
        <w:rPr>
          <w:rFonts w:hint="eastAsia" w:ascii="Times New Roman" w:hAnsi="Times New Roman" w:eastAsia="黑体" w:cs="Times New Roman"/>
          <w:color w:val="auto"/>
          <w:sz w:val="28"/>
          <w:szCs w:val="28"/>
          <w:highlight w:val="none"/>
        </w:rPr>
        <w:t>信誉情况</w:t>
      </w:r>
      <w:bookmarkEnd w:id="303"/>
      <w:bookmarkEnd w:id="304"/>
      <w:bookmarkEnd w:id="305"/>
      <w:bookmarkEnd w:id="306"/>
      <w:bookmarkEnd w:id="307"/>
      <w:bookmarkEnd w:id="308"/>
    </w:p>
    <w:p w14:paraId="01986E6F">
      <w:pPr>
        <w:topLinePunct/>
        <w:spacing w:line="440" w:lineRule="exact"/>
        <w:rPr>
          <w:rFonts w:ascii="Times New Roman" w:hAnsi="Times New Roman" w:cs="Times New Roman"/>
          <w:bCs/>
          <w:color w:val="auto"/>
          <w:sz w:val="23"/>
          <w:szCs w:val="23"/>
          <w:highlight w:val="none"/>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5454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1E6C204">
            <w:pPr>
              <w:topLinePunct/>
              <w:spacing w:line="440" w:lineRule="exact"/>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项 目</w:t>
            </w:r>
          </w:p>
        </w:tc>
        <w:tc>
          <w:tcPr>
            <w:tcW w:w="4445" w:type="dxa"/>
          </w:tcPr>
          <w:p w14:paraId="666AAE85">
            <w:pPr>
              <w:topLinePunct/>
              <w:spacing w:line="440" w:lineRule="exact"/>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供应商情况说明</w:t>
            </w:r>
          </w:p>
        </w:tc>
      </w:tr>
      <w:tr w14:paraId="1CCD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2D289AF">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是否被责令停业，暂扣或吊销执照，或吊销资质证书</w:t>
            </w:r>
          </w:p>
        </w:tc>
        <w:tc>
          <w:tcPr>
            <w:tcW w:w="4445" w:type="dxa"/>
          </w:tcPr>
          <w:p w14:paraId="28B68535">
            <w:pPr>
              <w:topLinePunct/>
              <w:spacing w:line="440" w:lineRule="exact"/>
              <w:rPr>
                <w:rFonts w:ascii="Times New Roman" w:hAnsi="Times New Roman" w:cs="Times New Roman"/>
                <w:bCs/>
                <w:color w:val="auto"/>
                <w:szCs w:val="21"/>
                <w:highlight w:val="none"/>
              </w:rPr>
            </w:pPr>
          </w:p>
        </w:tc>
      </w:tr>
      <w:tr w14:paraId="1EA9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7F7C76A">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是否进入清算程序，或被宣告破产，或其他丧失履约能力的情形</w:t>
            </w:r>
          </w:p>
        </w:tc>
        <w:tc>
          <w:tcPr>
            <w:tcW w:w="4445" w:type="dxa"/>
          </w:tcPr>
          <w:p w14:paraId="586BCB46">
            <w:pPr>
              <w:topLinePunct/>
              <w:spacing w:line="440" w:lineRule="exact"/>
              <w:rPr>
                <w:rFonts w:ascii="Times New Roman" w:hAnsi="Times New Roman" w:cs="Times New Roman"/>
                <w:bCs/>
                <w:color w:val="auto"/>
                <w:szCs w:val="21"/>
                <w:highlight w:val="none"/>
              </w:rPr>
            </w:pPr>
          </w:p>
        </w:tc>
      </w:tr>
      <w:tr w14:paraId="7481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3C90D885">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是否在国家企业信用信息公示系统（http://www.gsxt.gov.cn）中被列入严重违法失信企业名单</w:t>
            </w:r>
          </w:p>
        </w:tc>
        <w:tc>
          <w:tcPr>
            <w:tcW w:w="4445" w:type="dxa"/>
          </w:tcPr>
          <w:p w14:paraId="0B69FB84">
            <w:pPr>
              <w:topLinePunct/>
              <w:spacing w:line="440" w:lineRule="exact"/>
              <w:rPr>
                <w:rFonts w:ascii="Times New Roman" w:hAnsi="Times New Roman" w:cs="Times New Roman"/>
                <w:bCs/>
                <w:color w:val="auto"/>
                <w:szCs w:val="21"/>
                <w:highlight w:val="none"/>
              </w:rPr>
            </w:pPr>
          </w:p>
        </w:tc>
      </w:tr>
      <w:tr w14:paraId="4B28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8C3C455">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是否在“</w:t>
            </w:r>
            <w:r>
              <w:rPr>
                <w:rFonts w:hint="eastAsia" w:ascii="Times New Roman" w:hAnsi="Times New Roman" w:cs="Times New Roman"/>
                <w:color w:val="auto"/>
                <w:sz w:val="24"/>
                <w:szCs w:val="28"/>
                <w:highlight w:val="none"/>
                <w:lang w:val="en-US" w:eastAsia="zh-CN"/>
              </w:rPr>
              <w:t>中国执行信息公开网</w:t>
            </w:r>
            <w:r>
              <w:rPr>
                <w:rFonts w:ascii="Times New Roman" w:hAnsi="Times New Roman" w:cs="Times New Roman"/>
                <w:color w:val="auto"/>
                <w:sz w:val="24"/>
                <w:szCs w:val="28"/>
                <w:highlight w:val="none"/>
              </w:rPr>
              <w:t>”网站（http://</w:t>
            </w:r>
            <w:r>
              <w:rPr>
                <w:rFonts w:hint="eastAsia" w:ascii="Times New Roman" w:hAnsi="Times New Roman" w:cs="Times New Roman"/>
                <w:color w:val="auto"/>
                <w:sz w:val="24"/>
                <w:szCs w:val="28"/>
                <w:highlight w:val="none"/>
                <w:lang w:val="en-US" w:eastAsia="zh-CN"/>
              </w:rPr>
              <w:t>zxgk.court.gov.cn/indcx.jsp</w:t>
            </w:r>
            <w:r>
              <w:rPr>
                <w:rFonts w:ascii="Times New Roman" w:hAnsi="Times New Roman" w:cs="Times New Roman"/>
                <w:color w:val="auto"/>
                <w:sz w:val="24"/>
                <w:szCs w:val="28"/>
                <w:highlight w:val="none"/>
              </w:rPr>
              <w:t>）中被列入失信被执行人名单</w:t>
            </w:r>
          </w:p>
        </w:tc>
        <w:tc>
          <w:tcPr>
            <w:tcW w:w="4445" w:type="dxa"/>
          </w:tcPr>
          <w:p w14:paraId="64FC8834">
            <w:pPr>
              <w:topLinePunct/>
              <w:spacing w:line="440" w:lineRule="exact"/>
              <w:rPr>
                <w:rFonts w:ascii="Times New Roman" w:hAnsi="Times New Roman" w:cs="Times New Roman"/>
                <w:bCs/>
                <w:color w:val="auto"/>
                <w:szCs w:val="21"/>
                <w:highlight w:val="none"/>
              </w:rPr>
            </w:pPr>
          </w:p>
        </w:tc>
      </w:tr>
      <w:tr w14:paraId="7305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48859C78">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是否在近三年内（自</w:t>
            </w:r>
            <w:r>
              <w:rPr>
                <w:rFonts w:hint="eastAsia" w:ascii="Times New Roman" w:hAnsi="Times New Roman" w:cs="Times New Roman"/>
                <w:color w:val="auto"/>
                <w:sz w:val="24"/>
                <w:szCs w:val="28"/>
                <w:highlight w:val="none"/>
              </w:rPr>
              <w:t>响应文件递交截止之日</w:t>
            </w:r>
            <w:r>
              <w:rPr>
                <w:rFonts w:ascii="Times New Roman" w:hAnsi="Times New Roman" w:cs="Times New Roman"/>
                <w:color w:val="auto"/>
                <w:sz w:val="24"/>
                <w:szCs w:val="28"/>
                <w:highlight w:val="none"/>
              </w:rPr>
              <w:t>向前追溯3年）供应商或其法定代表人、拟委</w:t>
            </w:r>
            <w:r>
              <w:rPr>
                <w:rFonts w:hint="eastAsia" w:ascii="Times New Roman" w:hAnsi="Times New Roman" w:cs="Times New Roman"/>
                <w:color w:val="auto"/>
                <w:sz w:val="24"/>
                <w:szCs w:val="28"/>
                <w:highlight w:val="none"/>
                <w:lang w:val="en-US" w:eastAsia="zh-CN"/>
              </w:rPr>
              <w:t>派</w:t>
            </w:r>
            <w:r>
              <w:rPr>
                <w:rFonts w:ascii="Times New Roman" w:hAnsi="Times New Roman" w:cs="Times New Roman"/>
                <w:color w:val="auto"/>
                <w:sz w:val="24"/>
                <w:szCs w:val="28"/>
                <w:highlight w:val="none"/>
              </w:rPr>
              <w:t>的</w:t>
            </w:r>
            <w:r>
              <w:rPr>
                <w:rFonts w:hint="eastAsia" w:ascii="Times New Roman" w:hAnsi="Times New Roman" w:cs="Times New Roman"/>
                <w:color w:val="auto"/>
                <w:sz w:val="24"/>
                <w:szCs w:val="28"/>
                <w:highlight w:val="none"/>
              </w:rPr>
              <w:t>项目负责人</w:t>
            </w:r>
            <w:r>
              <w:rPr>
                <w:rFonts w:ascii="Times New Roman" w:hAnsi="Times New Roman" w:cs="Times New Roman"/>
                <w:color w:val="auto"/>
                <w:sz w:val="24"/>
                <w:szCs w:val="28"/>
                <w:highlight w:val="none"/>
              </w:rPr>
              <w:t>有行贿犯罪行为</w:t>
            </w:r>
          </w:p>
        </w:tc>
        <w:tc>
          <w:tcPr>
            <w:tcW w:w="4445" w:type="dxa"/>
          </w:tcPr>
          <w:p w14:paraId="210E47FE">
            <w:pPr>
              <w:topLinePunct/>
              <w:spacing w:line="440" w:lineRule="exact"/>
              <w:rPr>
                <w:rFonts w:ascii="Times New Roman" w:hAnsi="Times New Roman" w:cs="Times New Roman"/>
                <w:bCs/>
                <w:color w:val="auto"/>
                <w:szCs w:val="21"/>
                <w:highlight w:val="none"/>
              </w:rPr>
            </w:pPr>
          </w:p>
        </w:tc>
      </w:tr>
      <w:tr w14:paraId="5770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2A8C645">
            <w:pPr>
              <w:topLinePunct/>
              <w:spacing w:line="440" w:lineRule="exact"/>
              <w:rPr>
                <w:rFonts w:ascii="Times New Roman" w:hAnsi="Times New Roman" w:cs="Times New Roman"/>
                <w:color w:val="auto"/>
                <w:sz w:val="24"/>
                <w:szCs w:val="28"/>
                <w:highlight w:val="none"/>
              </w:rPr>
            </w:pPr>
            <w:r>
              <w:rPr>
                <w:rFonts w:hint="eastAsia" w:ascii="Times New Roman" w:hAnsi="Times New Roman" w:cs="Times New Roman"/>
                <w:color w:val="auto"/>
                <w:sz w:val="24"/>
                <w:szCs w:val="28"/>
                <w:highlight w:val="none"/>
              </w:rPr>
              <w:t>……</w:t>
            </w:r>
          </w:p>
        </w:tc>
        <w:tc>
          <w:tcPr>
            <w:tcW w:w="4445" w:type="dxa"/>
          </w:tcPr>
          <w:p w14:paraId="27756731">
            <w:pPr>
              <w:topLinePunct/>
              <w:spacing w:line="440" w:lineRule="exact"/>
              <w:rPr>
                <w:rFonts w:ascii="Times New Roman" w:hAnsi="Times New Roman" w:cs="Times New Roman"/>
                <w:bCs/>
                <w:color w:val="auto"/>
                <w:szCs w:val="21"/>
                <w:highlight w:val="none"/>
              </w:rPr>
            </w:pPr>
          </w:p>
        </w:tc>
      </w:tr>
    </w:tbl>
    <w:p w14:paraId="75C08767">
      <w:pPr>
        <w:spacing w:line="440" w:lineRule="exact"/>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注：本表无需附证明材料。</w:t>
      </w:r>
    </w:p>
    <w:p w14:paraId="41D7F1FF">
      <w:pPr>
        <w:pStyle w:val="2"/>
        <w:jc w:val="right"/>
        <w:rPr>
          <w:rFonts w:ascii="Times New Roman" w:hAnsi="Times New Roman" w:cs="Times New Roman"/>
          <w:color w:val="auto"/>
          <w:sz w:val="24"/>
          <w:highlight w:val="none"/>
        </w:rPr>
      </w:pPr>
    </w:p>
    <w:p w14:paraId="2C4527B6">
      <w:pPr>
        <w:spacing w:line="440" w:lineRule="exact"/>
        <w:jc w:val="righ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14:paraId="393A1F1E">
      <w:pPr>
        <w:pStyle w:val="2"/>
        <w:jc w:val="right"/>
        <w:rPr>
          <w:color w:val="auto"/>
          <w:highlight w:val="none"/>
          <w:u w:val="singl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年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42E419D9">
      <w:pPr>
        <w:pStyle w:val="2"/>
        <w:rPr>
          <w:color w:val="auto"/>
          <w:highlight w:val="none"/>
        </w:rPr>
      </w:pPr>
    </w:p>
    <w:p w14:paraId="67A4EC09">
      <w:pPr>
        <w:pStyle w:val="2"/>
        <w:spacing w:line="440" w:lineRule="exact"/>
        <w:rPr>
          <w:rFonts w:ascii="Times New Roman" w:hAnsi="Times New Roman" w:cs="Times New Roman"/>
          <w:color w:val="auto"/>
          <w:sz w:val="24"/>
          <w:highlight w:val="none"/>
        </w:rPr>
      </w:pPr>
    </w:p>
    <w:p w14:paraId="7A66F199">
      <w:pPr>
        <w:spacing w:line="400" w:lineRule="atLeast"/>
        <w:jc w:val="center"/>
        <w:rPr>
          <w:rFonts w:ascii="Times New Roman" w:hAnsi="Times New Roman" w:cs="Times New Roman"/>
          <w:color w:val="auto"/>
          <w:sz w:val="24"/>
          <w:highlight w:val="none"/>
        </w:rPr>
      </w:pPr>
      <w:r>
        <w:rPr>
          <w:rFonts w:ascii="Times New Roman" w:hAnsi="Times New Roman" w:eastAsia="黑体" w:cs="Times New Roman"/>
          <w:color w:val="auto"/>
          <w:sz w:val="27"/>
          <w:szCs w:val="27"/>
          <w:highlight w:val="none"/>
        </w:rPr>
        <w:br w:type="page"/>
      </w:r>
    </w:p>
    <w:p w14:paraId="52748A02">
      <w:pPr>
        <w:spacing w:line="440" w:lineRule="exact"/>
        <w:jc w:val="center"/>
        <w:rPr>
          <w:rFonts w:ascii="Times New Roman" w:hAnsi="Times New Roman" w:eastAsia="黑体" w:cs="Times New Roman"/>
          <w:color w:val="auto"/>
          <w:sz w:val="28"/>
          <w:szCs w:val="28"/>
          <w:highlight w:val="none"/>
        </w:rPr>
      </w:pPr>
      <w:bookmarkStart w:id="309" w:name="_Toc1483_WPSOffice_Level1"/>
      <w:bookmarkStart w:id="310" w:name="_Toc2048_WPSOffice_Level1"/>
      <w:bookmarkStart w:id="311" w:name="_Toc23493_WPSOffice_Level1"/>
      <w:bookmarkStart w:id="312" w:name="_Toc24999_WPSOffice_Level1"/>
      <w:bookmarkStart w:id="313" w:name="_Toc31596_WPSOffice_Level1"/>
      <w:bookmarkStart w:id="314" w:name="_Toc29660_WPSOffice_Level1"/>
      <w:r>
        <w:rPr>
          <w:rFonts w:hint="eastAsia" w:ascii="Times New Roman" w:hAnsi="Times New Roman" w:eastAsia="黑体" w:cs="Times New Roman"/>
          <w:color w:val="auto"/>
          <w:sz w:val="28"/>
          <w:szCs w:val="28"/>
          <w:highlight w:val="none"/>
        </w:rPr>
        <w:t>八</w:t>
      </w:r>
      <w:r>
        <w:rPr>
          <w:rFonts w:ascii="Times New Roman" w:hAnsi="Times New Roman" w:eastAsia="黑体" w:cs="Times New Roman"/>
          <w:color w:val="auto"/>
          <w:sz w:val="28"/>
          <w:szCs w:val="28"/>
          <w:highlight w:val="none"/>
        </w:rPr>
        <w:t>、</w:t>
      </w:r>
      <w:bookmarkEnd w:id="309"/>
      <w:bookmarkEnd w:id="310"/>
      <w:bookmarkEnd w:id="311"/>
      <w:bookmarkEnd w:id="312"/>
      <w:r>
        <w:rPr>
          <w:rFonts w:hint="eastAsia" w:ascii="Times New Roman" w:hAnsi="Times New Roman" w:eastAsia="黑体" w:cs="Times New Roman"/>
          <w:color w:val="auto"/>
          <w:sz w:val="28"/>
          <w:szCs w:val="28"/>
          <w:highlight w:val="none"/>
          <w:lang w:val="en-US" w:eastAsia="zh-CN"/>
        </w:rPr>
        <w:t>服务</w:t>
      </w:r>
      <w:r>
        <w:rPr>
          <w:rFonts w:hint="eastAsia" w:ascii="Times New Roman" w:hAnsi="Times New Roman" w:eastAsia="黑体" w:cs="Times New Roman"/>
          <w:color w:val="auto"/>
          <w:sz w:val="28"/>
          <w:szCs w:val="28"/>
          <w:highlight w:val="none"/>
        </w:rPr>
        <w:t>方案</w:t>
      </w:r>
      <w:bookmarkEnd w:id="313"/>
      <w:bookmarkEnd w:id="314"/>
    </w:p>
    <w:p w14:paraId="432042AF">
      <w:pPr>
        <w:spacing w:line="440" w:lineRule="exact"/>
        <w:rPr>
          <w:rFonts w:ascii="Times New Roman" w:hAnsi="Times New Roman" w:eastAsia="黑体" w:cs="Times New Roman"/>
          <w:color w:val="auto"/>
          <w:sz w:val="20"/>
          <w:szCs w:val="20"/>
          <w:highlight w:val="none"/>
        </w:rPr>
      </w:pPr>
    </w:p>
    <w:p w14:paraId="17C6D126">
      <w:pPr>
        <w:spacing w:line="44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w:t>
      </w:r>
      <w:r>
        <w:rPr>
          <w:rFonts w:ascii="Times New Roman" w:hAnsi="Times New Roman" w:cs="Times New Roman"/>
          <w:color w:val="auto"/>
          <w:sz w:val="24"/>
          <w:highlight w:val="none"/>
        </w:rPr>
        <w:t>供应商应按</w:t>
      </w:r>
      <w:r>
        <w:rPr>
          <w:rFonts w:hint="eastAsia" w:ascii="Times New Roman" w:hAnsi="Times New Roman" w:cs="Times New Roman"/>
          <w:color w:val="auto"/>
          <w:sz w:val="24"/>
          <w:highlight w:val="none"/>
        </w:rPr>
        <w:t>项目特点</w:t>
      </w:r>
      <w:r>
        <w:rPr>
          <w:rFonts w:ascii="Times New Roman" w:hAnsi="Times New Roman" w:cs="Times New Roman"/>
          <w:color w:val="auto"/>
          <w:sz w:val="24"/>
          <w:highlight w:val="none"/>
        </w:rPr>
        <w:t>编制</w:t>
      </w:r>
      <w:r>
        <w:rPr>
          <w:rFonts w:hint="eastAsia" w:ascii="Times New Roman" w:hAnsi="Times New Roman" w:cs="Times New Roman"/>
          <w:color w:val="auto"/>
          <w:sz w:val="24"/>
          <w:highlight w:val="none"/>
          <w:lang w:val="en-US" w:eastAsia="zh-CN"/>
        </w:rPr>
        <w:t>服务</w:t>
      </w:r>
      <w:r>
        <w:rPr>
          <w:rFonts w:hint="eastAsia" w:ascii="Times New Roman" w:hAnsi="Times New Roman" w:cs="Times New Roman"/>
          <w:color w:val="auto"/>
          <w:sz w:val="24"/>
          <w:highlight w:val="none"/>
        </w:rPr>
        <w:t>方案</w:t>
      </w:r>
      <w:r>
        <w:rPr>
          <w:rFonts w:ascii="Times New Roman" w:hAnsi="Times New Roman" w:cs="Times New Roman"/>
          <w:color w:val="auto"/>
          <w:sz w:val="24"/>
          <w:highlight w:val="none"/>
        </w:rPr>
        <w:t>(文字宜精炼、内容具有针对性)</w:t>
      </w:r>
      <w:r>
        <w:rPr>
          <w:rFonts w:hint="eastAsia" w:ascii="Times New Roman" w:hAnsi="Times New Roman" w:cs="Times New Roman"/>
          <w:color w:val="auto"/>
          <w:sz w:val="24"/>
          <w:highlight w:val="none"/>
        </w:rPr>
        <w:t>。</w:t>
      </w:r>
    </w:p>
    <w:p w14:paraId="24C28695">
      <w:pPr>
        <w:numPr>
          <w:ilvl w:val="255"/>
          <w:numId w:val="0"/>
        </w:numPr>
        <w:rPr>
          <w:color w:val="auto"/>
          <w:highlight w:val="none"/>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宋一简体">
    <w:altName w:val="宋体"/>
    <w:panose1 w:val="020B0604020202020204"/>
    <w:charset w:val="00"/>
    <w:family w:val="script"/>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icrosoftYaHei">
    <w:altName w:val="宋体"/>
    <w:panose1 w:val="00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汉仪中宋简">
    <w:panose1 w:val="02010600000101010101"/>
    <w:charset w:val="80"/>
    <w:family w:val="auto"/>
    <w:pitch w:val="default"/>
    <w:sig w:usb0="800002BF" w:usb1="184F6CF8" w:usb2="00000012" w:usb3="00000000" w:csb0="00020001" w:csb1="00000000"/>
  </w:font>
  <w:font w:name="汉仪字酷堂长林体W">
    <w:panose1 w:val="00020600040101010101"/>
    <w:charset w:val="86"/>
    <w:family w:val="auto"/>
    <w:pitch w:val="default"/>
    <w:sig w:usb0="8000003F" w:usb1="1AC104FA" w:usb2="00000016" w:usb3="00000000" w:csb0="0004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A6471">
    <w:pPr>
      <w:pStyle w:val="14"/>
      <w:ind w:firstLine="360"/>
      <w:jc w:val="center"/>
    </w:pPr>
  </w:p>
  <w:p w14:paraId="525F0B51">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50D6D">
    <w:pPr>
      <w:pStyle w:val="14"/>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F2E285">
                          <w:pPr>
                            <w:pStyle w:val="14"/>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02F2E285">
                    <w:pPr>
                      <w:pStyle w:val="14"/>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p w14:paraId="7BD7EC4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74773">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784345">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24</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D784345">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24</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A0957">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9F681">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24</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3E19F681">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24</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E0611">
    <w:pPr>
      <w:tabs>
        <w:tab w:val="center" w:pos="4200"/>
      </w:tabs>
      <w:rPr>
        <w:rFonts w:ascii="Calibri" w:hAnsi="Calibri" w:eastAsia="宋体" w:cs="Times New Roman"/>
      </w:rPr>
    </w:pPr>
    <w:r>
      <w:rPr>
        <w:rFonts w:ascii="Times New Roman" w:hAnsi="Times New Roman" w:eastAsia="宋体" w:cs="Times New Roman"/>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2C449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28</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C2C449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28</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r>
      <w:rPr>
        <w:rFonts w:hint="eastAsia" w:ascii="Calibri" w:hAnsi="Calibri" w:eastAsia="宋体" w:cs="Times New Roman"/>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16752">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0825B2">
                          <w:pPr>
                            <w:pStyle w:val="14"/>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420825B2">
                    <w:pPr>
                      <w:pStyle w:val="14"/>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3A25">
    <w:pPr>
      <w:pBdr>
        <w:top w:val="none" w:color="auto" w:sz="0" w:space="1"/>
        <w:left w:val="none" w:color="auto" w:sz="0" w:space="4"/>
        <w:bottom w:val="none" w:color="auto" w:sz="0" w:space="1"/>
        <w:right w:val="none" w:color="auto" w:sz="0" w:space="4"/>
      </w:pBdr>
      <w:snapToGrid w:val="0"/>
      <w:rPr>
        <w:rFonts w:ascii="Calibri" w:hAnsi="Calibri" w:eastAsia="宋体"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4E4B">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25B3BB5"/>
    <w:multiLevelType w:val="singleLevel"/>
    <w:tmpl w:val="A25B3BB5"/>
    <w:lvl w:ilvl="0" w:tentative="0">
      <w:start w:val="2"/>
      <w:numFmt w:val="chineseCounting"/>
      <w:suff w:val="nothing"/>
      <w:lvlText w:val="%1、"/>
      <w:lvlJc w:val="left"/>
      <w:rPr>
        <w:rFonts w:hint="eastAsia"/>
      </w:rPr>
    </w:lvl>
  </w:abstractNum>
  <w:abstractNum w:abstractNumId="2">
    <w:nsid w:val="C01D7B5A"/>
    <w:multiLevelType w:val="singleLevel"/>
    <w:tmpl w:val="C01D7B5A"/>
    <w:lvl w:ilvl="0" w:tentative="0">
      <w:start w:val="2"/>
      <w:numFmt w:val="decimal"/>
      <w:suff w:val="nothing"/>
      <w:lvlText w:val="（%1）"/>
      <w:lvlJc w:val="left"/>
    </w:lvl>
  </w:abstractNum>
  <w:abstractNum w:abstractNumId="3">
    <w:nsid w:val="C3843399"/>
    <w:multiLevelType w:val="singleLevel"/>
    <w:tmpl w:val="C3843399"/>
    <w:lvl w:ilvl="0" w:tentative="0">
      <w:start w:val="3"/>
      <w:numFmt w:val="chineseCounting"/>
      <w:suff w:val="nothing"/>
      <w:lvlText w:val="%1、"/>
      <w:lvlJc w:val="left"/>
      <w:rPr>
        <w:rFonts w:hint="eastAsia"/>
      </w:rPr>
    </w:lvl>
  </w:abstractNum>
  <w:abstractNum w:abstractNumId="4">
    <w:nsid w:val="097F8506"/>
    <w:multiLevelType w:val="singleLevel"/>
    <w:tmpl w:val="097F8506"/>
    <w:lvl w:ilvl="0" w:tentative="0">
      <w:start w:val="1"/>
      <w:numFmt w:val="decimal"/>
      <w:suff w:val="nothing"/>
      <w:lvlText w:val="%1、"/>
      <w:lvlJc w:val="left"/>
    </w:lvl>
  </w:abstractNum>
  <w:abstractNum w:abstractNumId="5">
    <w:nsid w:val="2E95D47B"/>
    <w:multiLevelType w:val="singleLevel"/>
    <w:tmpl w:val="2E95D47B"/>
    <w:lvl w:ilvl="0" w:tentative="0">
      <w:start w:val="1"/>
      <w:numFmt w:val="decimal"/>
      <w:pStyle w:val="4"/>
      <w:suff w:val="nothing"/>
      <w:lvlText w:val="%1．"/>
      <w:lvlJc w:val="left"/>
      <w:pPr>
        <w:ind w:left="17" w:firstLine="400"/>
      </w:pPr>
      <w:rPr>
        <w:rFont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0YmZiM2VhZDA0OTE1OWNiNzYzM2IxNDk2MzY1ODQifQ=="/>
    <w:docVar w:name="KSO_WPS_MARK_KEY" w:val="0c927678-17e1-4590-bdb9-cd589b3df0f7"/>
  </w:docVars>
  <w:rsids>
    <w:rsidRoot w:val="00984BC1"/>
    <w:rsid w:val="00126DE8"/>
    <w:rsid w:val="001659E6"/>
    <w:rsid w:val="0021779D"/>
    <w:rsid w:val="00286930"/>
    <w:rsid w:val="002F3AF3"/>
    <w:rsid w:val="003C6A6E"/>
    <w:rsid w:val="00466F51"/>
    <w:rsid w:val="004932B8"/>
    <w:rsid w:val="00512041"/>
    <w:rsid w:val="005B1C62"/>
    <w:rsid w:val="00774C23"/>
    <w:rsid w:val="007F0E50"/>
    <w:rsid w:val="007F289D"/>
    <w:rsid w:val="008B5E97"/>
    <w:rsid w:val="0097239F"/>
    <w:rsid w:val="00984BC1"/>
    <w:rsid w:val="00A36BEA"/>
    <w:rsid w:val="00A6306F"/>
    <w:rsid w:val="00AE1115"/>
    <w:rsid w:val="00AF0DA2"/>
    <w:rsid w:val="00B56F3C"/>
    <w:rsid w:val="00D06F81"/>
    <w:rsid w:val="00E214CC"/>
    <w:rsid w:val="00ED7B29"/>
    <w:rsid w:val="00F43DE7"/>
    <w:rsid w:val="00F61FA7"/>
    <w:rsid w:val="00FA1044"/>
    <w:rsid w:val="00FD2626"/>
    <w:rsid w:val="01082DCE"/>
    <w:rsid w:val="01196377"/>
    <w:rsid w:val="011A27E6"/>
    <w:rsid w:val="011B4B0A"/>
    <w:rsid w:val="011D6ED0"/>
    <w:rsid w:val="013C7065"/>
    <w:rsid w:val="014D641B"/>
    <w:rsid w:val="01604B65"/>
    <w:rsid w:val="01631629"/>
    <w:rsid w:val="016A3995"/>
    <w:rsid w:val="01767A67"/>
    <w:rsid w:val="018B2605"/>
    <w:rsid w:val="019312E0"/>
    <w:rsid w:val="0195715E"/>
    <w:rsid w:val="019D2FC7"/>
    <w:rsid w:val="019E058F"/>
    <w:rsid w:val="01B82FCB"/>
    <w:rsid w:val="01BC5540"/>
    <w:rsid w:val="01E22FC9"/>
    <w:rsid w:val="01EB771E"/>
    <w:rsid w:val="01ED4448"/>
    <w:rsid w:val="02047B14"/>
    <w:rsid w:val="02104FD3"/>
    <w:rsid w:val="021A334D"/>
    <w:rsid w:val="02241CA7"/>
    <w:rsid w:val="022C0382"/>
    <w:rsid w:val="022D7E5C"/>
    <w:rsid w:val="02454DC6"/>
    <w:rsid w:val="02460711"/>
    <w:rsid w:val="024B086A"/>
    <w:rsid w:val="024C3FDE"/>
    <w:rsid w:val="025C2FF3"/>
    <w:rsid w:val="0260580C"/>
    <w:rsid w:val="026F50F7"/>
    <w:rsid w:val="0292228F"/>
    <w:rsid w:val="029A1F04"/>
    <w:rsid w:val="029D3473"/>
    <w:rsid w:val="02A843B9"/>
    <w:rsid w:val="02AF018D"/>
    <w:rsid w:val="02B17534"/>
    <w:rsid w:val="02C148EA"/>
    <w:rsid w:val="02D856A4"/>
    <w:rsid w:val="02F11F86"/>
    <w:rsid w:val="03137C41"/>
    <w:rsid w:val="031402A0"/>
    <w:rsid w:val="031E41B6"/>
    <w:rsid w:val="03530EF0"/>
    <w:rsid w:val="03666726"/>
    <w:rsid w:val="03695632"/>
    <w:rsid w:val="036A6013"/>
    <w:rsid w:val="036B0042"/>
    <w:rsid w:val="03767918"/>
    <w:rsid w:val="03921536"/>
    <w:rsid w:val="03957CCA"/>
    <w:rsid w:val="03A81972"/>
    <w:rsid w:val="03BA168E"/>
    <w:rsid w:val="03DE6BBF"/>
    <w:rsid w:val="03E11889"/>
    <w:rsid w:val="03E940D4"/>
    <w:rsid w:val="03EA0F31"/>
    <w:rsid w:val="03EC548F"/>
    <w:rsid w:val="03FB6B06"/>
    <w:rsid w:val="04184E27"/>
    <w:rsid w:val="04233E93"/>
    <w:rsid w:val="04266180"/>
    <w:rsid w:val="04295DA0"/>
    <w:rsid w:val="04352FAD"/>
    <w:rsid w:val="04533F12"/>
    <w:rsid w:val="046B7205"/>
    <w:rsid w:val="047B3AB4"/>
    <w:rsid w:val="047C0CFA"/>
    <w:rsid w:val="047C234D"/>
    <w:rsid w:val="048328A9"/>
    <w:rsid w:val="04A52713"/>
    <w:rsid w:val="04A61CAB"/>
    <w:rsid w:val="04B66E9B"/>
    <w:rsid w:val="04DF02F5"/>
    <w:rsid w:val="04EA65EC"/>
    <w:rsid w:val="04F54297"/>
    <w:rsid w:val="04F76AAC"/>
    <w:rsid w:val="04F95D73"/>
    <w:rsid w:val="050022AA"/>
    <w:rsid w:val="05162632"/>
    <w:rsid w:val="05474D67"/>
    <w:rsid w:val="057351EA"/>
    <w:rsid w:val="05834B0B"/>
    <w:rsid w:val="059761EF"/>
    <w:rsid w:val="059F2433"/>
    <w:rsid w:val="05A12F8F"/>
    <w:rsid w:val="05B16949"/>
    <w:rsid w:val="05C614B1"/>
    <w:rsid w:val="05EC3DBF"/>
    <w:rsid w:val="05F90297"/>
    <w:rsid w:val="060C39DD"/>
    <w:rsid w:val="061006D5"/>
    <w:rsid w:val="061959B1"/>
    <w:rsid w:val="06227012"/>
    <w:rsid w:val="06291D77"/>
    <w:rsid w:val="062929E2"/>
    <w:rsid w:val="064B1FD0"/>
    <w:rsid w:val="06510831"/>
    <w:rsid w:val="0655574A"/>
    <w:rsid w:val="066756C3"/>
    <w:rsid w:val="066E7995"/>
    <w:rsid w:val="0671119D"/>
    <w:rsid w:val="068C07A0"/>
    <w:rsid w:val="069C2279"/>
    <w:rsid w:val="06C4263F"/>
    <w:rsid w:val="06C75E0F"/>
    <w:rsid w:val="06CD2659"/>
    <w:rsid w:val="06D9617D"/>
    <w:rsid w:val="06E209B7"/>
    <w:rsid w:val="06EE5449"/>
    <w:rsid w:val="071D3AEF"/>
    <w:rsid w:val="071F775B"/>
    <w:rsid w:val="0725414F"/>
    <w:rsid w:val="073E4D0F"/>
    <w:rsid w:val="077D57A0"/>
    <w:rsid w:val="07914D92"/>
    <w:rsid w:val="07C03A74"/>
    <w:rsid w:val="07C64654"/>
    <w:rsid w:val="07C93DD2"/>
    <w:rsid w:val="07F10BD9"/>
    <w:rsid w:val="07F33261"/>
    <w:rsid w:val="07FB3039"/>
    <w:rsid w:val="07FC2047"/>
    <w:rsid w:val="08061CCE"/>
    <w:rsid w:val="080A4F8B"/>
    <w:rsid w:val="081D312D"/>
    <w:rsid w:val="08290DFC"/>
    <w:rsid w:val="082D031A"/>
    <w:rsid w:val="083227D0"/>
    <w:rsid w:val="083E61F6"/>
    <w:rsid w:val="08441F41"/>
    <w:rsid w:val="08662069"/>
    <w:rsid w:val="0871359F"/>
    <w:rsid w:val="08762289"/>
    <w:rsid w:val="088909C5"/>
    <w:rsid w:val="0897332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904735"/>
    <w:rsid w:val="09A1577F"/>
    <w:rsid w:val="09B1743D"/>
    <w:rsid w:val="09BF3C5F"/>
    <w:rsid w:val="09EC3543"/>
    <w:rsid w:val="0A017749"/>
    <w:rsid w:val="0A31325F"/>
    <w:rsid w:val="0A433EA3"/>
    <w:rsid w:val="0A4C0A53"/>
    <w:rsid w:val="0A5359E5"/>
    <w:rsid w:val="0A562E5C"/>
    <w:rsid w:val="0A595E3B"/>
    <w:rsid w:val="0A6D4428"/>
    <w:rsid w:val="0A70103F"/>
    <w:rsid w:val="0A7740C9"/>
    <w:rsid w:val="0A830A8F"/>
    <w:rsid w:val="0AB1314A"/>
    <w:rsid w:val="0AB92708"/>
    <w:rsid w:val="0ADB488F"/>
    <w:rsid w:val="0ADF4740"/>
    <w:rsid w:val="0AF404CA"/>
    <w:rsid w:val="0B237F0C"/>
    <w:rsid w:val="0B25655D"/>
    <w:rsid w:val="0B372831"/>
    <w:rsid w:val="0B39048B"/>
    <w:rsid w:val="0B3B41A4"/>
    <w:rsid w:val="0B466158"/>
    <w:rsid w:val="0B5807E8"/>
    <w:rsid w:val="0B765704"/>
    <w:rsid w:val="0B7D0BA2"/>
    <w:rsid w:val="0B831417"/>
    <w:rsid w:val="0B976282"/>
    <w:rsid w:val="0BAA0921"/>
    <w:rsid w:val="0BAB4B61"/>
    <w:rsid w:val="0BBE3C8E"/>
    <w:rsid w:val="0BD75140"/>
    <w:rsid w:val="0BD821CA"/>
    <w:rsid w:val="0BE00F68"/>
    <w:rsid w:val="0BFF5C25"/>
    <w:rsid w:val="0C0A4650"/>
    <w:rsid w:val="0C122E87"/>
    <w:rsid w:val="0C142061"/>
    <w:rsid w:val="0C25115F"/>
    <w:rsid w:val="0C30164C"/>
    <w:rsid w:val="0C4909C1"/>
    <w:rsid w:val="0C54553C"/>
    <w:rsid w:val="0C6153DA"/>
    <w:rsid w:val="0C680BDD"/>
    <w:rsid w:val="0C715D36"/>
    <w:rsid w:val="0C72723E"/>
    <w:rsid w:val="0C8830F0"/>
    <w:rsid w:val="0C890890"/>
    <w:rsid w:val="0C915D6B"/>
    <w:rsid w:val="0C9F0011"/>
    <w:rsid w:val="0CA8035A"/>
    <w:rsid w:val="0CAD361F"/>
    <w:rsid w:val="0CAD70A0"/>
    <w:rsid w:val="0CAE6912"/>
    <w:rsid w:val="0CCA7A68"/>
    <w:rsid w:val="0CE45ABA"/>
    <w:rsid w:val="0CE55D2A"/>
    <w:rsid w:val="0CE72E37"/>
    <w:rsid w:val="0CEA1161"/>
    <w:rsid w:val="0D0D00B9"/>
    <w:rsid w:val="0D0E1A16"/>
    <w:rsid w:val="0D10611A"/>
    <w:rsid w:val="0D204464"/>
    <w:rsid w:val="0D245D5D"/>
    <w:rsid w:val="0D2A5D78"/>
    <w:rsid w:val="0D4D2A59"/>
    <w:rsid w:val="0D643C93"/>
    <w:rsid w:val="0D840310"/>
    <w:rsid w:val="0D8F2ED2"/>
    <w:rsid w:val="0D935001"/>
    <w:rsid w:val="0DA75F7E"/>
    <w:rsid w:val="0DBA39FC"/>
    <w:rsid w:val="0DCE19B4"/>
    <w:rsid w:val="0DDC4CD5"/>
    <w:rsid w:val="0E14052A"/>
    <w:rsid w:val="0E1B588D"/>
    <w:rsid w:val="0E265F28"/>
    <w:rsid w:val="0E2873E9"/>
    <w:rsid w:val="0E564460"/>
    <w:rsid w:val="0E744B2D"/>
    <w:rsid w:val="0E8D05E0"/>
    <w:rsid w:val="0E903DF5"/>
    <w:rsid w:val="0E9B3C63"/>
    <w:rsid w:val="0EB4636E"/>
    <w:rsid w:val="0EB75DCA"/>
    <w:rsid w:val="0EC81177"/>
    <w:rsid w:val="0ED12EB4"/>
    <w:rsid w:val="0ED16605"/>
    <w:rsid w:val="0ED97B37"/>
    <w:rsid w:val="0EE3071C"/>
    <w:rsid w:val="0EED2DF2"/>
    <w:rsid w:val="0EF83DB8"/>
    <w:rsid w:val="0F401FA4"/>
    <w:rsid w:val="0F411166"/>
    <w:rsid w:val="0F4F57E8"/>
    <w:rsid w:val="0F6C3B60"/>
    <w:rsid w:val="0F6F6315"/>
    <w:rsid w:val="0F7150A0"/>
    <w:rsid w:val="0F74541D"/>
    <w:rsid w:val="0F7A125F"/>
    <w:rsid w:val="0FB81B5B"/>
    <w:rsid w:val="0FD00E8A"/>
    <w:rsid w:val="0FD6425A"/>
    <w:rsid w:val="0FE65A61"/>
    <w:rsid w:val="10090199"/>
    <w:rsid w:val="10337DDD"/>
    <w:rsid w:val="103656D1"/>
    <w:rsid w:val="103C7917"/>
    <w:rsid w:val="104249EC"/>
    <w:rsid w:val="10564A8B"/>
    <w:rsid w:val="1058602D"/>
    <w:rsid w:val="10795C93"/>
    <w:rsid w:val="108B3AFA"/>
    <w:rsid w:val="10B15280"/>
    <w:rsid w:val="10B95885"/>
    <w:rsid w:val="10CF164C"/>
    <w:rsid w:val="10D50461"/>
    <w:rsid w:val="10E24CD8"/>
    <w:rsid w:val="10F15163"/>
    <w:rsid w:val="10F26CDC"/>
    <w:rsid w:val="11163C77"/>
    <w:rsid w:val="1139732F"/>
    <w:rsid w:val="114A7510"/>
    <w:rsid w:val="114C67B8"/>
    <w:rsid w:val="115A53BC"/>
    <w:rsid w:val="116479F0"/>
    <w:rsid w:val="11696085"/>
    <w:rsid w:val="117A2D8F"/>
    <w:rsid w:val="118E75B9"/>
    <w:rsid w:val="1194155A"/>
    <w:rsid w:val="119C1623"/>
    <w:rsid w:val="11AB3509"/>
    <w:rsid w:val="11B5299E"/>
    <w:rsid w:val="11E52624"/>
    <w:rsid w:val="11E8124D"/>
    <w:rsid w:val="11F9333E"/>
    <w:rsid w:val="11FE31AD"/>
    <w:rsid w:val="121466AA"/>
    <w:rsid w:val="122028A6"/>
    <w:rsid w:val="122B6577"/>
    <w:rsid w:val="122B76A8"/>
    <w:rsid w:val="12343761"/>
    <w:rsid w:val="123613EF"/>
    <w:rsid w:val="123756D1"/>
    <w:rsid w:val="123B7167"/>
    <w:rsid w:val="124E5F2C"/>
    <w:rsid w:val="12597E87"/>
    <w:rsid w:val="125B3739"/>
    <w:rsid w:val="126338A9"/>
    <w:rsid w:val="126943EE"/>
    <w:rsid w:val="12865675"/>
    <w:rsid w:val="129A697A"/>
    <w:rsid w:val="12C6189A"/>
    <w:rsid w:val="12CE785B"/>
    <w:rsid w:val="12D16BCB"/>
    <w:rsid w:val="12DC2AAB"/>
    <w:rsid w:val="12E74E3F"/>
    <w:rsid w:val="12ED7F8F"/>
    <w:rsid w:val="12F04674"/>
    <w:rsid w:val="12FE1AE7"/>
    <w:rsid w:val="130C6CE3"/>
    <w:rsid w:val="13190BA4"/>
    <w:rsid w:val="13293F8A"/>
    <w:rsid w:val="132A5815"/>
    <w:rsid w:val="13356A71"/>
    <w:rsid w:val="134854F2"/>
    <w:rsid w:val="13594F2D"/>
    <w:rsid w:val="13714DE1"/>
    <w:rsid w:val="13A70B15"/>
    <w:rsid w:val="13B72E13"/>
    <w:rsid w:val="13BA32C6"/>
    <w:rsid w:val="13DE4A24"/>
    <w:rsid w:val="14003B68"/>
    <w:rsid w:val="14077165"/>
    <w:rsid w:val="140A4876"/>
    <w:rsid w:val="14231FAC"/>
    <w:rsid w:val="14264818"/>
    <w:rsid w:val="145378D4"/>
    <w:rsid w:val="1463315F"/>
    <w:rsid w:val="14664519"/>
    <w:rsid w:val="146F09C5"/>
    <w:rsid w:val="147441B4"/>
    <w:rsid w:val="14745B8C"/>
    <w:rsid w:val="14832530"/>
    <w:rsid w:val="14936D19"/>
    <w:rsid w:val="14F33B67"/>
    <w:rsid w:val="151E62FD"/>
    <w:rsid w:val="151F03B5"/>
    <w:rsid w:val="153A65BE"/>
    <w:rsid w:val="15422B45"/>
    <w:rsid w:val="155860CA"/>
    <w:rsid w:val="155D535D"/>
    <w:rsid w:val="156629A4"/>
    <w:rsid w:val="156A38D6"/>
    <w:rsid w:val="1584295D"/>
    <w:rsid w:val="158735B1"/>
    <w:rsid w:val="15895244"/>
    <w:rsid w:val="159E013D"/>
    <w:rsid w:val="15BA0961"/>
    <w:rsid w:val="15BC6BCB"/>
    <w:rsid w:val="15D32868"/>
    <w:rsid w:val="15EE1192"/>
    <w:rsid w:val="15FD0081"/>
    <w:rsid w:val="161713B9"/>
    <w:rsid w:val="162117F2"/>
    <w:rsid w:val="163D38BD"/>
    <w:rsid w:val="164432FC"/>
    <w:rsid w:val="166867F9"/>
    <w:rsid w:val="16746A12"/>
    <w:rsid w:val="16763172"/>
    <w:rsid w:val="167E2633"/>
    <w:rsid w:val="168431DE"/>
    <w:rsid w:val="168C763B"/>
    <w:rsid w:val="1690501F"/>
    <w:rsid w:val="16B01790"/>
    <w:rsid w:val="16B22F9A"/>
    <w:rsid w:val="16C62AAA"/>
    <w:rsid w:val="16D147CF"/>
    <w:rsid w:val="16DB2D50"/>
    <w:rsid w:val="16DE5569"/>
    <w:rsid w:val="16E8299C"/>
    <w:rsid w:val="16F40010"/>
    <w:rsid w:val="16FB1042"/>
    <w:rsid w:val="17096A52"/>
    <w:rsid w:val="170A608F"/>
    <w:rsid w:val="17176EC0"/>
    <w:rsid w:val="171A22E9"/>
    <w:rsid w:val="173213AE"/>
    <w:rsid w:val="1735048C"/>
    <w:rsid w:val="173C70F5"/>
    <w:rsid w:val="174206F3"/>
    <w:rsid w:val="17543035"/>
    <w:rsid w:val="175C1503"/>
    <w:rsid w:val="1761165F"/>
    <w:rsid w:val="176B4C2E"/>
    <w:rsid w:val="17912DBB"/>
    <w:rsid w:val="179E2BB2"/>
    <w:rsid w:val="17A31E57"/>
    <w:rsid w:val="17A41A09"/>
    <w:rsid w:val="17BE7705"/>
    <w:rsid w:val="17DE1931"/>
    <w:rsid w:val="17E43CA4"/>
    <w:rsid w:val="1803234F"/>
    <w:rsid w:val="181F7B0D"/>
    <w:rsid w:val="183412E3"/>
    <w:rsid w:val="184D7361"/>
    <w:rsid w:val="18611ADF"/>
    <w:rsid w:val="18660D83"/>
    <w:rsid w:val="18850BC0"/>
    <w:rsid w:val="188F0361"/>
    <w:rsid w:val="18A34D8C"/>
    <w:rsid w:val="18AD0BE1"/>
    <w:rsid w:val="18B619A6"/>
    <w:rsid w:val="18BB43F9"/>
    <w:rsid w:val="18BD2A66"/>
    <w:rsid w:val="18C13AC1"/>
    <w:rsid w:val="18D119EE"/>
    <w:rsid w:val="190524A1"/>
    <w:rsid w:val="19111C94"/>
    <w:rsid w:val="193809C2"/>
    <w:rsid w:val="194361A3"/>
    <w:rsid w:val="194E641E"/>
    <w:rsid w:val="19651738"/>
    <w:rsid w:val="198365E2"/>
    <w:rsid w:val="19976995"/>
    <w:rsid w:val="19B044DF"/>
    <w:rsid w:val="19FA5475"/>
    <w:rsid w:val="19FC6A1D"/>
    <w:rsid w:val="1A110767"/>
    <w:rsid w:val="1A1964F4"/>
    <w:rsid w:val="1A576AE8"/>
    <w:rsid w:val="1A613F40"/>
    <w:rsid w:val="1A6450AE"/>
    <w:rsid w:val="1A6F3D1D"/>
    <w:rsid w:val="1A742AE7"/>
    <w:rsid w:val="1A8056D4"/>
    <w:rsid w:val="1A851E5E"/>
    <w:rsid w:val="1A976D8E"/>
    <w:rsid w:val="1A9A00BD"/>
    <w:rsid w:val="1A9F3526"/>
    <w:rsid w:val="1AB60854"/>
    <w:rsid w:val="1AB62259"/>
    <w:rsid w:val="1ADB5923"/>
    <w:rsid w:val="1ADF24BC"/>
    <w:rsid w:val="1AFB2F34"/>
    <w:rsid w:val="1B111758"/>
    <w:rsid w:val="1B142E41"/>
    <w:rsid w:val="1B1C4A6C"/>
    <w:rsid w:val="1B1F0131"/>
    <w:rsid w:val="1B200BA4"/>
    <w:rsid w:val="1B2372F3"/>
    <w:rsid w:val="1B2709C3"/>
    <w:rsid w:val="1B2C2EBB"/>
    <w:rsid w:val="1B300A8F"/>
    <w:rsid w:val="1B3028D7"/>
    <w:rsid w:val="1B344A57"/>
    <w:rsid w:val="1B364075"/>
    <w:rsid w:val="1B387860"/>
    <w:rsid w:val="1B5A266B"/>
    <w:rsid w:val="1B6F3157"/>
    <w:rsid w:val="1B745152"/>
    <w:rsid w:val="1B763A15"/>
    <w:rsid w:val="1B872646"/>
    <w:rsid w:val="1B941FF2"/>
    <w:rsid w:val="1BB019DC"/>
    <w:rsid w:val="1BB91E00"/>
    <w:rsid w:val="1BC0329E"/>
    <w:rsid w:val="1BC863D0"/>
    <w:rsid w:val="1BEF1A51"/>
    <w:rsid w:val="1C01157A"/>
    <w:rsid w:val="1C28234F"/>
    <w:rsid w:val="1C337FF5"/>
    <w:rsid w:val="1C3B4532"/>
    <w:rsid w:val="1C3F63C6"/>
    <w:rsid w:val="1C495A9B"/>
    <w:rsid w:val="1C4A4F18"/>
    <w:rsid w:val="1C4C62F2"/>
    <w:rsid w:val="1C6063BC"/>
    <w:rsid w:val="1C677760"/>
    <w:rsid w:val="1C8342C9"/>
    <w:rsid w:val="1C835541"/>
    <w:rsid w:val="1CA63F16"/>
    <w:rsid w:val="1CB63D17"/>
    <w:rsid w:val="1CBE15B8"/>
    <w:rsid w:val="1CC70AAE"/>
    <w:rsid w:val="1CF93C71"/>
    <w:rsid w:val="1CF97B60"/>
    <w:rsid w:val="1D030883"/>
    <w:rsid w:val="1D1D75F2"/>
    <w:rsid w:val="1D330136"/>
    <w:rsid w:val="1D5039A9"/>
    <w:rsid w:val="1D670B14"/>
    <w:rsid w:val="1D924EB5"/>
    <w:rsid w:val="1D9574F0"/>
    <w:rsid w:val="1D9F65B1"/>
    <w:rsid w:val="1DA002EB"/>
    <w:rsid w:val="1DD7785D"/>
    <w:rsid w:val="1DE0242C"/>
    <w:rsid w:val="1DE02E8C"/>
    <w:rsid w:val="1DFB418B"/>
    <w:rsid w:val="1E061D8D"/>
    <w:rsid w:val="1E1510B3"/>
    <w:rsid w:val="1E1B06D7"/>
    <w:rsid w:val="1E1D003B"/>
    <w:rsid w:val="1E2A636A"/>
    <w:rsid w:val="1E2B5895"/>
    <w:rsid w:val="1E3F71AC"/>
    <w:rsid w:val="1E407FC7"/>
    <w:rsid w:val="1E484768"/>
    <w:rsid w:val="1E4946FB"/>
    <w:rsid w:val="1E4A65BA"/>
    <w:rsid w:val="1E506677"/>
    <w:rsid w:val="1E575267"/>
    <w:rsid w:val="1E5A2DA3"/>
    <w:rsid w:val="1E611165"/>
    <w:rsid w:val="1E6C6427"/>
    <w:rsid w:val="1E760156"/>
    <w:rsid w:val="1E7646AA"/>
    <w:rsid w:val="1E965D04"/>
    <w:rsid w:val="1EA26379"/>
    <w:rsid w:val="1EC13239"/>
    <w:rsid w:val="1EC9566D"/>
    <w:rsid w:val="1ED352F2"/>
    <w:rsid w:val="1ED920BE"/>
    <w:rsid w:val="1EF7470E"/>
    <w:rsid w:val="1F05265B"/>
    <w:rsid w:val="1F073AFB"/>
    <w:rsid w:val="1F0E2E4B"/>
    <w:rsid w:val="1F1068A9"/>
    <w:rsid w:val="1F11207D"/>
    <w:rsid w:val="1F3309E4"/>
    <w:rsid w:val="1F3C6344"/>
    <w:rsid w:val="1F5435CA"/>
    <w:rsid w:val="1F546D45"/>
    <w:rsid w:val="1F645F88"/>
    <w:rsid w:val="1F6A639E"/>
    <w:rsid w:val="1F8132C8"/>
    <w:rsid w:val="1FA02744"/>
    <w:rsid w:val="1FAC011C"/>
    <w:rsid w:val="1FC24714"/>
    <w:rsid w:val="1FCC3990"/>
    <w:rsid w:val="1FFD71DA"/>
    <w:rsid w:val="200C298F"/>
    <w:rsid w:val="201C54FE"/>
    <w:rsid w:val="202A4D90"/>
    <w:rsid w:val="20435529"/>
    <w:rsid w:val="20517E69"/>
    <w:rsid w:val="20530F08"/>
    <w:rsid w:val="2066350B"/>
    <w:rsid w:val="208701DC"/>
    <w:rsid w:val="20942936"/>
    <w:rsid w:val="20AD1511"/>
    <w:rsid w:val="20AE71CD"/>
    <w:rsid w:val="20C75587"/>
    <w:rsid w:val="20DD7EA1"/>
    <w:rsid w:val="20EC6F0D"/>
    <w:rsid w:val="20EF3849"/>
    <w:rsid w:val="21114D59"/>
    <w:rsid w:val="212707FC"/>
    <w:rsid w:val="214B2529"/>
    <w:rsid w:val="216D73A5"/>
    <w:rsid w:val="2181475C"/>
    <w:rsid w:val="218D6398"/>
    <w:rsid w:val="219B4A0D"/>
    <w:rsid w:val="21C614F6"/>
    <w:rsid w:val="21D136E6"/>
    <w:rsid w:val="21D57E5D"/>
    <w:rsid w:val="22084791"/>
    <w:rsid w:val="220B38D3"/>
    <w:rsid w:val="220F27AB"/>
    <w:rsid w:val="221C62C3"/>
    <w:rsid w:val="223029AE"/>
    <w:rsid w:val="22441B96"/>
    <w:rsid w:val="224B1241"/>
    <w:rsid w:val="22565E31"/>
    <w:rsid w:val="226C24D9"/>
    <w:rsid w:val="227540C8"/>
    <w:rsid w:val="22C438D9"/>
    <w:rsid w:val="22C90127"/>
    <w:rsid w:val="22D008F7"/>
    <w:rsid w:val="22D42D6B"/>
    <w:rsid w:val="22DF5D82"/>
    <w:rsid w:val="22E9418C"/>
    <w:rsid w:val="22FD581D"/>
    <w:rsid w:val="231A6446"/>
    <w:rsid w:val="23200D04"/>
    <w:rsid w:val="23237F5E"/>
    <w:rsid w:val="23252F62"/>
    <w:rsid w:val="2329015A"/>
    <w:rsid w:val="233D41F6"/>
    <w:rsid w:val="233E1D9D"/>
    <w:rsid w:val="23471C6C"/>
    <w:rsid w:val="235015BF"/>
    <w:rsid w:val="235A23F9"/>
    <w:rsid w:val="23690BF3"/>
    <w:rsid w:val="23873664"/>
    <w:rsid w:val="238A746E"/>
    <w:rsid w:val="23A70DB3"/>
    <w:rsid w:val="23D003FB"/>
    <w:rsid w:val="23E06FF0"/>
    <w:rsid w:val="23F26B67"/>
    <w:rsid w:val="23F64AF5"/>
    <w:rsid w:val="24321DFA"/>
    <w:rsid w:val="24530C8F"/>
    <w:rsid w:val="24636547"/>
    <w:rsid w:val="2470600F"/>
    <w:rsid w:val="24717D47"/>
    <w:rsid w:val="249C788A"/>
    <w:rsid w:val="24B82B32"/>
    <w:rsid w:val="24BB6D5B"/>
    <w:rsid w:val="24DC6375"/>
    <w:rsid w:val="24F755BB"/>
    <w:rsid w:val="24FA5375"/>
    <w:rsid w:val="25167458"/>
    <w:rsid w:val="251E581D"/>
    <w:rsid w:val="252A368C"/>
    <w:rsid w:val="25306483"/>
    <w:rsid w:val="25317C88"/>
    <w:rsid w:val="253317B8"/>
    <w:rsid w:val="2537641D"/>
    <w:rsid w:val="253C3EF7"/>
    <w:rsid w:val="2558795E"/>
    <w:rsid w:val="255E089E"/>
    <w:rsid w:val="257F5882"/>
    <w:rsid w:val="25987884"/>
    <w:rsid w:val="25B67871"/>
    <w:rsid w:val="25BF330D"/>
    <w:rsid w:val="25C27A7C"/>
    <w:rsid w:val="25C76039"/>
    <w:rsid w:val="25E31DB1"/>
    <w:rsid w:val="25E60A73"/>
    <w:rsid w:val="25F341F9"/>
    <w:rsid w:val="25FD4EFD"/>
    <w:rsid w:val="2603678D"/>
    <w:rsid w:val="26050C41"/>
    <w:rsid w:val="261A0D6A"/>
    <w:rsid w:val="263F4733"/>
    <w:rsid w:val="264826D8"/>
    <w:rsid w:val="26486C62"/>
    <w:rsid w:val="26581526"/>
    <w:rsid w:val="26600E98"/>
    <w:rsid w:val="26845C6C"/>
    <w:rsid w:val="26873841"/>
    <w:rsid w:val="269408C3"/>
    <w:rsid w:val="26A244E0"/>
    <w:rsid w:val="26AF5A72"/>
    <w:rsid w:val="26BE55EA"/>
    <w:rsid w:val="26C35476"/>
    <w:rsid w:val="26C762DB"/>
    <w:rsid w:val="26DC20E5"/>
    <w:rsid w:val="26F97745"/>
    <w:rsid w:val="270E3585"/>
    <w:rsid w:val="274B353E"/>
    <w:rsid w:val="27524FD4"/>
    <w:rsid w:val="275319F4"/>
    <w:rsid w:val="27613BAA"/>
    <w:rsid w:val="276A2C20"/>
    <w:rsid w:val="276E6872"/>
    <w:rsid w:val="277233BC"/>
    <w:rsid w:val="277B5D30"/>
    <w:rsid w:val="278E3101"/>
    <w:rsid w:val="27906EE8"/>
    <w:rsid w:val="27941CFF"/>
    <w:rsid w:val="27A458E7"/>
    <w:rsid w:val="27BC1DF8"/>
    <w:rsid w:val="28076074"/>
    <w:rsid w:val="280D4614"/>
    <w:rsid w:val="281846D4"/>
    <w:rsid w:val="282F78FD"/>
    <w:rsid w:val="28436F61"/>
    <w:rsid w:val="286A2391"/>
    <w:rsid w:val="28724132"/>
    <w:rsid w:val="287B59F6"/>
    <w:rsid w:val="28847D06"/>
    <w:rsid w:val="288F48FB"/>
    <w:rsid w:val="28974169"/>
    <w:rsid w:val="28AC0ECF"/>
    <w:rsid w:val="28AE2264"/>
    <w:rsid w:val="28BE57FD"/>
    <w:rsid w:val="28C01F1D"/>
    <w:rsid w:val="28C14CAA"/>
    <w:rsid w:val="28D35487"/>
    <w:rsid w:val="28EB33ED"/>
    <w:rsid w:val="28EF7C3E"/>
    <w:rsid w:val="29001D45"/>
    <w:rsid w:val="290D0C20"/>
    <w:rsid w:val="291458F7"/>
    <w:rsid w:val="29154A5F"/>
    <w:rsid w:val="29162105"/>
    <w:rsid w:val="291D6CFF"/>
    <w:rsid w:val="291E564E"/>
    <w:rsid w:val="29454998"/>
    <w:rsid w:val="29741CFA"/>
    <w:rsid w:val="297C2E49"/>
    <w:rsid w:val="29941624"/>
    <w:rsid w:val="299554BA"/>
    <w:rsid w:val="29956056"/>
    <w:rsid w:val="29AA3C23"/>
    <w:rsid w:val="29BF59D6"/>
    <w:rsid w:val="29C53546"/>
    <w:rsid w:val="29C941A2"/>
    <w:rsid w:val="29EB49C9"/>
    <w:rsid w:val="29EF3FB8"/>
    <w:rsid w:val="29F12286"/>
    <w:rsid w:val="29FB2966"/>
    <w:rsid w:val="2A1D7695"/>
    <w:rsid w:val="2A291720"/>
    <w:rsid w:val="2A2B2E5B"/>
    <w:rsid w:val="2A37472F"/>
    <w:rsid w:val="2A3A63BF"/>
    <w:rsid w:val="2A411009"/>
    <w:rsid w:val="2A46394D"/>
    <w:rsid w:val="2A48150B"/>
    <w:rsid w:val="2A4C0A1A"/>
    <w:rsid w:val="2A4C6A3D"/>
    <w:rsid w:val="2A633D38"/>
    <w:rsid w:val="2A655AFF"/>
    <w:rsid w:val="2A715DEA"/>
    <w:rsid w:val="2A97631D"/>
    <w:rsid w:val="2AB4054B"/>
    <w:rsid w:val="2AB843C9"/>
    <w:rsid w:val="2AD307BD"/>
    <w:rsid w:val="2AEA4C38"/>
    <w:rsid w:val="2AFE46B0"/>
    <w:rsid w:val="2B073FBC"/>
    <w:rsid w:val="2B0C18DB"/>
    <w:rsid w:val="2B22095A"/>
    <w:rsid w:val="2B392180"/>
    <w:rsid w:val="2B3C1D66"/>
    <w:rsid w:val="2B3E28EB"/>
    <w:rsid w:val="2B430D79"/>
    <w:rsid w:val="2B6E1F63"/>
    <w:rsid w:val="2B8D329B"/>
    <w:rsid w:val="2B9215B2"/>
    <w:rsid w:val="2BA42C24"/>
    <w:rsid w:val="2BB623FD"/>
    <w:rsid w:val="2BC566C7"/>
    <w:rsid w:val="2BC81736"/>
    <w:rsid w:val="2BE31367"/>
    <w:rsid w:val="2BE3479D"/>
    <w:rsid w:val="2BFB3F34"/>
    <w:rsid w:val="2C0E0D00"/>
    <w:rsid w:val="2C133D20"/>
    <w:rsid w:val="2C19133D"/>
    <w:rsid w:val="2C1A1B3D"/>
    <w:rsid w:val="2C221397"/>
    <w:rsid w:val="2C81653D"/>
    <w:rsid w:val="2C92258A"/>
    <w:rsid w:val="2CB9247E"/>
    <w:rsid w:val="2CF42A2C"/>
    <w:rsid w:val="2D1547AA"/>
    <w:rsid w:val="2D1C0C8B"/>
    <w:rsid w:val="2D500625"/>
    <w:rsid w:val="2D511CF8"/>
    <w:rsid w:val="2D8E5DB3"/>
    <w:rsid w:val="2D94624A"/>
    <w:rsid w:val="2D9C231F"/>
    <w:rsid w:val="2D9F3C27"/>
    <w:rsid w:val="2DAB019F"/>
    <w:rsid w:val="2DB15F1B"/>
    <w:rsid w:val="2DD47370"/>
    <w:rsid w:val="2DE44B7D"/>
    <w:rsid w:val="2DE85A59"/>
    <w:rsid w:val="2E00515D"/>
    <w:rsid w:val="2E153C96"/>
    <w:rsid w:val="2E1D043E"/>
    <w:rsid w:val="2E2C3CC9"/>
    <w:rsid w:val="2E2D39B2"/>
    <w:rsid w:val="2E3944DD"/>
    <w:rsid w:val="2E3B7D3D"/>
    <w:rsid w:val="2E524DAC"/>
    <w:rsid w:val="2E553313"/>
    <w:rsid w:val="2E6C4C6B"/>
    <w:rsid w:val="2E760F81"/>
    <w:rsid w:val="2E7A64DB"/>
    <w:rsid w:val="2E7F0E45"/>
    <w:rsid w:val="2E816717"/>
    <w:rsid w:val="2E82511D"/>
    <w:rsid w:val="2EB774D0"/>
    <w:rsid w:val="2ED62883"/>
    <w:rsid w:val="2EE04406"/>
    <w:rsid w:val="2EE461BC"/>
    <w:rsid w:val="2EE642AD"/>
    <w:rsid w:val="2F05447E"/>
    <w:rsid w:val="2F0C299C"/>
    <w:rsid w:val="2F3F6D21"/>
    <w:rsid w:val="2F427B64"/>
    <w:rsid w:val="2F7A7771"/>
    <w:rsid w:val="2F8E7570"/>
    <w:rsid w:val="2FA70B41"/>
    <w:rsid w:val="2FAE780E"/>
    <w:rsid w:val="2FB41BE1"/>
    <w:rsid w:val="2FEA61C6"/>
    <w:rsid w:val="2FF46A33"/>
    <w:rsid w:val="2FF62EF3"/>
    <w:rsid w:val="30164ACC"/>
    <w:rsid w:val="301746AE"/>
    <w:rsid w:val="301A510E"/>
    <w:rsid w:val="30446691"/>
    <w:rsid w:val="30536DA5"/>
    <w:rsid w:val="30555F0B"/>
    <w:rsid w:val="305B18F9"/>
    <w:rsid w:val="306675DB"/>
    <w:rsid w:val="306F4A5C"/>
    <w:rsid w:val="30704F1E"/>
    <w:rsid w:val="30B74EB9"/>
    <w:rsid w:val="30EA2FCA"/>
    <w:rsid w:val="31130579"/>
    <w:rsid w:val="31150AF7"/>
    <w:rsid w:val="312977F5"/>
    <w:rsid w:val="3140510D"/>
    <w:rsid w:val="31490B16"/>
    <w:rsid w:val="31500AF0"/>
    <w:rsid w:val="315D724F"/>
    <w:rsid w:val="31606BA9"/>
    <w:rsid w:val="317B5137"/>
    <w:rsid w:val="31B173FD"/>
    <w:rsid w:val="31B535AF"/>
    <w:rsid w:val="31EA44FA"/>
    <w:rsid w:val="31F304A6"/>
    <w:rsid w:val="32091243"/>
    <w:rsid w:val="32294765"/>
    <w:rsid w:val="324846F4"/>
    <w:rsid w:val="327E7CD9"/>
    <w:rsid w:val="32B56E69"/>
    <w:rsid w:val="32C25E54"/>
    <w:rsid w:val="32F445A5"/>
    <w:rsid w:val="32FC5FC6"/>
    <w:rsid w:val="330F4401"/>
    <w:rsid w:val="331E1E02"/>
    <w:rsid w:val="331F3A96"/>
    <w:rsid w:val="33353215"/>
    <w:rsid w:val="33435036"/>
    <w:rsid w:val="33472431"/>
    <w:rsid w:val="335D7B29"/>
    <w:rsid w:val="336B0B61"/>
    <w:rsid w:val="337B4743"/>
    <w:rsid w:val="338C3ABE"/>
    <w:rsid w:val="33905E6E"/>
    <w:rsid w:val="339F0AE3"/>
    <w:rsid w:val="33A867A1"/>
    <w:rsid w:val="33BE0CB2"/>
    <w:rsid w:val="33C02706"/>
    <w:rsid w:val="33D21CA6"/>
    <w:rsid w:val="33F133C2"/>
    <w:rsid w:val="33F943AC"/>
    <w:rsid w:val="341548E7"/>
    <w:rsid w:val="34251F8E"/>
    <w:rsid w:val="345A7961"/>
    <w:rsid w:val="347A05C3"/>
    <w:rsid w:val="347E5080"/>
    <w:rsid w:val="348D4D75"/>
    <w:rsid w:val="34902CE5"/>
    <w:rsid w:val="34965FFC"/>
    <w:rsid w:val="349E0792"/>
    <w:rsid w:val="34B475AD"/>
    <w:rsid w:val="34C1398D"/>
    <w:rsid w:val="34D33C1F"/>
    <w:rsid w:val="34DB71D0"/>
    <w:rsid w:val="34E077DE"/>
    <w:rsid w:val="34EB3FFA"/>
    <w:rsid w:val="351911D3"/>
    <w:rsid w:val="351C58FB"/>
    <w:rsid w:val="35493147"/>
    <w:rsid w:val="35572F42"/>
    <w:rsid w:val="35575E62"/>
    <w:rsid w:val="35597C68"/>
    <w:rsid w:val="35680A2A"/>
    <w:rsid w:val="35682CA4"/>
    <w:rsid w:val="356E5C0E"/>
    <w:rsid w:val="357375C4"/>
    <w:rsid w:val="357A743D"/>
    <w:rsid w:val="358B52B4"/>
    <w:rsid w:val="35990A65"/>
    <w:rsid w:val="359D6299"/>
    <w:rsid w:val="35A6171B"/>
    <w:rsid w:val="35A82F5F"/>
    <w:rsid w:val="35B603F5"/>
    <w:rsid w:val="35CC2089"/>
    <w:rsid w:val="35EF1F65"/>
    <w:rsid w:val="35EF4E9F"/>
    <w:rsid w:val="36011B96"/>
    <w:rsid w:val="360D3064"/>
    <w:rsid w:val="3619258E"/>
    <w:rsid w:val="3633238A"/>
    <w:rsid w:val="3652616D"/>
    <w:rsid w:val="366046B9"/>
    <w:rsid w:val="366135C0"/>
    <w:rsid w:val="366A5627"/>
    <w:rsid w:val="36710AA2"/>
    <w:rsid w:val="36AC26B2"/>
    <w:rsid w:val="36C81B5B"/>
    <w:rsid w:val="36CA4796"/>
    <w:rsid w:val="36D305E5"/>
    <w:rsid w:val="36EA7FF2"/>
    <w:rsid w:val="37017235"/>
    <w:rsid w:val="373D169F"/>
    <w:rsid w:val="374E143A"/>
    <w:rsid w:val="375145A6"/>
    <w:rsid w:val="37522485"/>
    <w:rsid w:val="37613C52"/>
    <w:rsid w:val="376F2885"/>
    <w:rsid w:val="377835C6"/>
    <w:rsid w:val="37C11509"/>
    <w:rsid w:val="37DD1744"/>
    <w:rsid w:val="37F25243"/>
    <w:rsid w:val="380255AF"/>
    <w:rsid w:val="38333626"/>
    <w:rsid w:val="384E441A"/>
    <w:rsid w:val="38506C2F"/>
    <w:rsid w:val="38803B23"/>
    <w:rsid w:val="38877CF7"/>
    <w:rsid w:val="38961914"/>
    <w:rsid w:val="389820A0"/>
    <w:rsid w:val="38AF3010"/>
    <w:rsid w:val="38CE222A"/>
    <w:rsid w:val="38D822E9"/>
    <w:rsid w:val="38DD6A3B"/>
    <w:rsid w:val="38E03474"/>
    <w:rsid w:val="38E2286A"/>
    <w:rsid w:val="38E32D4B"/>
    <w:rsid w:val="38E94228"/>
    <w:rsid w:val="39051B96"/>
    <w:rsid w:val="39090EB2"/>
    <w:rsid w:val="390A09B4"/>
    <w:rsid w:val="390B2C76"/>
    <w:rsid w:val="391644FB"/>
    <w:rsid w:val="39257351"/>
    <w:rsid w:val="392D050D"/>
    <w:rsid w:val="392F0F3D"/>
    <w:rsid w:val="39322F95"/>
    <w:rsid w:val="39430A5E"/>
    <w:rsid w:val="39602F23"/>
    <w:rsid w:val="396B58C4"/>
    <w:rsid w:val="397B0BB4"/>
    <w:rsid w:val="399B3376"/>
    <w:rsid w:val="39A36AFF"/>
    <w:rsid w:val="39A64195"/>
    <w:rsid w:val="39AF1465"/>
    <w:rsid w:val="39C04E20"/>
    <w:rsid w:val="39CA3463"/>
    <w:rsid w:val="39CF6662"/>
    <w:rsid w:val="39E80849"/>
    <w:rsid w:val="39F2252B"/>
    <w:rsid w:val="3A0E5A41"/>
    <w:rsid w:val="3A2175BE"/>
    <w:rsid w:val="3A2436D1"/>
    <w:rsid w:val="3A2A7F00"/>
    <w:rsid w:val="3A4B32C5"/>
    <w:rsid w:val="3A4B415F"/>
    <w:rsid w:val="3A593D19"/>
    <w:rsid w:val="3A6A27D7"/>
    <w:rsid w:val="3AB5468B"/>
    <w:rsid w:val="3ABC09E4"/>
    <w:rsid w:val="3AC407C9"/>
    <w:rsid w:val="3ADD1A06"/>
    <w:rsid w:val="3AF06CC1"/>
    <w:rsid w:val="3B183E18"/>
    <w:rsid w:val="3B215631"/>
    <w:rsid w:val="3B2D6711"/>
    <w:rsid w:val="3B51309B"/>
    <w:rsid w:val="3B850E7A"/>
    <w:rsid w:val="3B883403"/>
    <w:rsid w:val="3B954F85"/>
    <w:rsid w:val="3B9C0E95"/>
    <w:rsid w:val="3BA96A60"/>
    <w:rsid w:val="3BBD0AD4"/>
    <w:rsid w:val="3BC767F9"/>
    <w:rsid w:val="3BDE4EBF"/>
    <w:rsid w:val="3BFE5D03"/>
    <w:rsid w:val="3C0248C3"/>
    <w:rsid w:val="3C072215"/>
    <w:rsid w:val="3C167592"/>
    <w:rsid w:val="3C170EB9"/>
    <w:rsid w:val="3C250799"/>
    <w:rsid w:val="3C276162"/>
    <w:rsid w:val="3C2B1BD6"/>
    <w:rsid w:val="3C2C17DF"/>
    <w:rsid w:val="3C396A58"/>
    <w:rsid w:val="3C577B7C"/>
    <w:rsid w:val="3C663D83"/>
    <w:rsid w:val="3C664263"/>
    <w:rsid w:val="3C714A0F"/>
    <w:rsid w:val="3C762FBC"/>
    <w:rsid w:val="3C9108DC"/>
    <w:rsid w:val="3CA427D7"/>
    <w:rsid w:val="3CA431D4"/>
    <w:rsid w:val="3CA86B29"/>
    <w:rsid w:val="3CAC710F"/>
    <w:rsid w:val="3CBD03A6"/>
    <w:rsid w:val="3CDC27C9"/>
    <w:rsid w:val="3CE068D8"/>
    <w:rsid w:val="3CE07B72"/>
    <w:rsid w:val="3CF21AEE"/>
    <w:rsid w:val="3D0A22D5"/>
    <w:rsid w:val="3D0B5F2D"/>
    <w:rsid w:val="3D114B5C"/>
    <w:rsid w:val="3D193B16"/>
    <w:rsid w:val="3D3F2810"/>
    <w:rsid w:val="3D484D37"/>
    <w:rsid w:val="3D495DF7"/>
    <w:rsid w:val="3D851633"/>
    <w:rsid w:val="3D875BB8"/>
    <w:rsid w:val="3DBF1661"/>
    <w:rsid w:val="3DFB1002"/>
    <w:rsid w:val="3E051FCE"/>
    <w:rsid w:val="3E1756B6"/>
    <w:rsid w:val="3E1920C0"/>
    <w:rsid w:val="3E2048C2"/>
    <w:rsid w:val="3E28471D"/>
    <w:rsid w:val="3E352534"/>
    <w:rsid w:val="3E42659A"/>
    <w:rsid w:val="3E4C632F"/>
    <w:rsid w:val="3E5E3BF8"/>
    <w:rsid w:val="3E5F70CE"/>
    <w:rsid w:val="3E610DA9"/>
    <w:rsid w:val="3E645172"/>
    <w:rsid w:val="3E701062"/>
    <w:rsid w:val="3E77442B"/>
    <w:rsid w:val="3EAC39B4"/>
    <w:rsid w:val="3EC11BF7"/>
    <w:rsid w:val="3EF169DA"/>
    <w:rsid w:val="3EF93089"/>
    <w:rsid w:val="3F0E4239"/>
    <w:rsid w:val="3F127531"/>
    <w:rsid w:val="3F207BB8"/>
    <w:rsid w:val="3F2B4E96"/>
    <w:rsid w:val="3F3840E2"/>
    <w:rsid w:val="3F3A7BF4"/>
    <w:rsid w:val="3F507482"/>
    <w:rsid w:val="3F5661ED"/>
    <w:rsid w:val="3F5C181E"/>
    <w:rsid w:val="3F6263C0"/>
    <w:rsid w:val="3F700303"/>
    <w:rsid w:val="3F755AF4"/>
    <w:rsid w:val="3F7A035D"/>
    <w:rsid w:val="3F7A4AAC"/>
    <w:rsid w:val="3F7F2AED"/>
    <w:rsid w:val="3F8568C6"/>
    <w:rsid w:val="3F895D56"/>
    <w:rsid w:val="3FAF7F99"/>
    <w:rsid w:val="3FBE325D"/>
    <w:rsid w:val="3FC24EFB"/>
    <w:rsid w:val="3FC42D5D"/>
    <w:rsid w:val="3FC470DF"/>
    <w:rsid w:val="3FCC6181"/>
    <w:rsid w:val="3FCF37A1"/>
    <w:rsid w:val="3FDD44BD"/>
    <w:rsid w:val="3FEE70B9"/>
    <w:rsid w:val="400910C5"/>
    <w:rsid w:val="400B3158"/>
    <w:rsid w:val="4016105A"/>
    <w:rsid w:val="402C30CE"/>
    <w:rsid w:val="4050338D"/>
    <w:rsid w:val="40507088"/>
    <w:rsid w:val="40511B29"/>
    <w:rsid w:val="40525CFA"/>
    <w:rsid w:val="405666DE"/>
    <w:rsid w:val="405A164D"/>
    <w:rsid w:val="405A2653"/>
    <w:rsid w:val="40622EEA"/>
    <w:rsid w:val="406C09CC"/>
    <w:rsid w:val="407D09B4"/>
    <w:rsid w:val="40892F96"/>
    <w:rsid w:val="408E1F25"/>
    <w:rsid w:val="409D774F"/>
    <w:rsid w:val="40A01572"/>
    <w:rsid w:val="40A22DA0"/>
    <w:rsid w:val="40A354E5"/>
    <w:rsid w:val="40B03322"/>
    <w:rsid w:val="40C444B5"/>
    <w:rsid w:val="4109777D"/>
    <w:rsid w:val="411F6223"/>
    <w:rsid w:val="41390C96"/>
    <w:rsid w:val="413B683F"/>
    <w:rsid w:val="41466C95"/>
    <w:rsid w:val="414B6987"/>
    <w:rsid w:val="4158647C"/>
    <w:rsid w:val="416B0B98"/>
    <w:rsid w:val="4175321B"/>
    <w:rsid w:val="418F78FA"/>
    <w:rsid w:val="4195768D"/>
    <w:rsid w:val="41A605D0"/>
    <w:rsid w:val="41CA3305"/>
    <w:rsid w:val="41CC6A6E"/>
    <w:rsid w:val="41D46746"/>
    <w:rsid w:val="41E50241"/>
    <w:rsid w:val="41ED6B4B"/>
    <w:rsid w:val="42065175"/>
    <w:rsid w:val="42203DE5"/>
    <w:rsid w:val="423339AE"/>
    <w:rsid w:val="42336860"/>
    <w:rsid w:val="42400071"/>
    <w:rsid w:val="42623E1B"/>
    <w:rsid w:val="42702AE2"/>
    <w:rsid w:val="427A3AB6"/>
    <w:rsid w:val="427B2568"/>
    <w:rsid w:val="427B6090"/>
    <w:rsid w:val="428A5209"/>
    <w:rsid w:val="42A32E9D"/>
    <w:rsid w:val="42A37451"/>
    <w:rsid w:val="42AA632B"/>
    <w:rsid w:val="42AE7F37"/>
    <w:rsid w:val="42B9327D"/>
    <w:rsid w:val="42CC28E0"/>
    <w:rsid w:val="42D07157"/>
    <w:rsid w:val="43037BB1"/>
    <w:rsid w:val="4308583C"/>
    <w:rsid w:val="433E40E3"/>
    <w:rsid w:val="434C25F0"/>
    <w:rsid w:val="434D4AE8"/>
    <w:rsid w:val="43512BF1"/>
    <w:rsid w:val="435448CE"/>
    <w:rsid w:val="43572820"/>
    <w:rsid w:val="43595FA2"/>
    <w:rsid w:val="43633FF9"/>
    <w:rsid w:val="436B0A40"/>
    <w:rsid w:val="43715519"/>
    <w:rsid w:val="43766E67"/>
    <w:rsid w:val="437B5074"/>
    <w:rsid w:val="437E400B"/>
    <w:rsid w:val="43993698"/>
    <w:rsid w:val="43B31196"/>
    <w:rsid w:val="43BB720C"/>
    <w:rsid w:val="43BC335F"/>
    <w:rsid w:val="43C92B32"/>
    <w:rsid w:val="43CF0940"/>
    <w:rsid w:val="43EB7ACC"/>
    <w:rsid w:val="43FC1AB4"/>
    <w:rsid w:val="4404683C"/>
    <w:rsid w:val="441D29CD"/>
    <w:rsid w:val="442944F4"/>
    <w:rsid w:val="442A1993"/>
    <w:rsid w:val="442F4C28"/>
    <w:rsid w:val="44402F95"/>
    <w:rsid w:val="44537FF7"/>
    <w:rsid w:val="447D407D"/>
    <w:rsid w:val="448A0E5D"/>
    <w:rsid w:val="449D45F7"/>
    <w:rsid w:val="44A435AA"/>
    <w:rsid w:val="44A872EC"/>
    <w:rsid w:val="44A91136"/>
    <w:rsid w:val="44BA3F62"/>
    <w:rsid w:val="44C07EB7"/>
    <w:rsid w:val="44C41CD0"/>
    <w:rsid w:val="44EB55BF"/>
    <w:rsid w:val="44EF33F2"/>
    <w:rsid w:val="4516216D"/>
    <w:rsid w:val="451F0B3D"/>
    <w:rsid w:val="452A57C8"/>
    <w:rsid w:val="452D2698"/>
    <w:rsid w:val="454E3658"/>
    <w:rsid w:val="4570054D"/>
    <w:rsid w:val="45836B41"/>
    <w:rsid w:val="45BA3A93"/>
    <w:rsid w:val="45D32B9D"/>
    <w:rsid w:val="45D51F09"/>
    <w:rsid w:val="45E335B5"/>
    <w:rsid w:val="46072FDC"/>
    <w:rsid w:val="460B44C8"/>
    <w:rsid w:val="46136A51"/>
    <w:rsid w:val="46144FA7"/>
    <w:rsid w:val="461F3C01"/>
    <w:rsid w:val="462D4AD7"/>
    <w:rsid w:val="463B13F8"/>
    <w:rsid w:val="463E6D3E"/>
    <w:rsid w:val="46566AA9"/>
    <w:rsid w:val="46661558"/>
    <w:rsid w:val="466A3548"/>
    <w:rsid w:val="466C4AED"/>
    <w:rsid w:val="46967F5B"/>
    <w:rsid w:val="46B05B1F"/>
    <w:rsid w:val="46B35E11"/>
    <w:rsid w:val="46BA27BC"/>
    <w:rsid w:val="46BC6770"/>
    <w:rsid w:val="46CF7E90"/>
    <w:rsid w:val="46D13DB8"/>
    <w:rsid w:val="46DC1EF9"/>
    <w:rsid w:val="47240834"/>
    <w:rsid w:val="47546CCD"/>
    <w:rsid w:val="475567CD"/>
    <w:rsid w:val="47595747"/>
    <w:rsid w:val="47595D33"/>
    <w:rsid w:val="475B3DA3"/>
    <w:rsid w:val="478039D4"/>
    <w:rsid w:val="479E642E"/>
    <w:rsid w:val="47A20A59"/>
    <w:rsid w:val="47B5458F"/>
    <w:rsid w:val="47C1238D"/>
    <w:rsid w:val="47CB0AA5"/>
    <w:rsid w:val="47E246F7"/>
    <w:rsid w:val="47E76F91"/>
    <w:rsid w:val="47FA3DFF"/>
    <w:rsid w:val="47FF0DAF"/>
    <w:rsid w:val="48030380"/>
    <w:rsid w:val="48185A6B"/>
    <w:rsid w:val="48273A4D"/>
    <w:rsid w:val="48387027"/>
    <w:rsid w:val="483F2C13"/>
    <w:rsid w:val="48490C72"/>
    <w:rsid w:val="484A471E"/>
    <w:rsid w:val="485162E7"/>
    <w:rsid w:val="48560B58"/>
    <w:rsid w:val="48615205"/>
    <w:rsid w:val="486B3599"/>
    <w:rsid w:val="486F3FB1"/>
    <w:rsid w:val="487452ED"/>
    <w:rsid w:val="48936FC5"/>
    <w:rsid w:val="489414DE"/>
    <w:rsid w:val="489B34E7"/>
    <w:rsid w:val="48A61185"/>
    <w:rsid w:val="48BC2E38"/>
    <w:rsid w:val="48BD0D6D"/>
    <w:rsid w:val="48C34DDE"/>
    <w:rsid w:val="48D17B15"/>
    <w:rsid w:val="48F814A8"/>
    <w:rsid w:val="491171A1"/>
    <w:rsid w:val="4927647B"/>
    <w:rsid w:val="492C5797"/>
    <w:rsid w:val="495013A9"/>
    <w:rsid w:val="495F48E7"/>
    <w:rsid w:val="49804F41"/>
    <w:rsid w:val="498203FE"/>
    <w:rsid w:val="499C2D6D"/>
    <w:rsid w:val="49B82B2F"/>
    <w:rsid w:val="49B96530"/>
    <w:rsid w:val="49BF7880"/>
    <w:rsid w:val="49C82B49"/>
    <w:rsid w:val="49D56C49"/>
    <w:rsid w:val="49D855C7"/>
    <w:rsid w:val="49EC4258"/>
    <w:rsid w:val="49F80512"/>
    <w:rsid w:val="4A21436D"/>
    <w:rsid w:val="4A263F01"/>
    <w:rsid w:val="4A4658CB"/>
    <w:rsid w:val="4A4C1CC9"/>
    <w:rsid w:val="4A7F1D52"/>
    <w:rsid w:val="4A854E3F"/>
    <w:rsid w:val="4AAB146E"/>
    <w:rsid w:val="4AED724C"/>
    <w:rsid w:val="4AF850BA"/>
    <w:rsid w:val="4AFB4F34"/>
    <w:rsid w:val="4B130467"/>
    <w:rsid w:val="4B1338CC"/>
    <w:rsid w:val="4B172B12"/>
    <w:rsid w:val="4B262EBA"/>
    <w:rsid w:val="4B3F1EC7"/>
    <w:rsid w:val="4B4A7644"/>
    <w:rsid w:val="4B531F8D"/>
    <w:rsid w:val="4B662E8B"/>
    <w:rsid w:val="4B82772E"/>
    <w:rsid w:val="4B8D450C"/>
    <w:rsid w:val="4B943B21"/>
    <w:rsid w:val="4BAB096B"/>
    <w:rsid w:val="4BAF7E06"/>
    <w:rsid w:val="4BBB3716"/>
    <w:rsid w:val="4BD46636"/>
    <w:rsid w:val="4BEA5081"/>
    <w:rsid w:val="4BEE45CB"/>
    <w:rsid w:val="4C082496"/>
    <w:rsid w:val="4C08678F"/>
    <w:rsid w:val="4C166789"/>
    <w:rsid w:val="4C1B5AC4"/>
    <w:rsid w:val="4C396B73"/>
    <w:rsid w:val="4C426781"/>
    <w:rsid w:val="4C4C5496"/>
    <w:rsid w:val="4C6A1CEF"/>
    <w:rsid w:val="4C6C3432"/>
    <w:rsid w:val="4C755449"/>
    <w:rsid w:val="4C854697"/>
    <w:rsid w:val="4C8C21FB"/>
    <w:rsid w:val="4C907331"/>
    <w:rsid w:val="4C9D08B4"/>
    <w:rsid w:val="4CA66198"/>
    <w:rsid w:val="4CAA102F"/>
    <w:rsid w:val="4CB14655"/>
    <w:rsid w:val="4CB33E17"/>
    <w:rsid w:val="4CC80B92"/>
    <w:rsid w:val="4CC92C3A"/>
    <w:rsid w:val="4CCB4051"/>
    <w:rsid w:val="4CE01489"/>
    <w:rsid w:val="4CEB74B6"/>
    <w:rsid w:val="4CF50A59"/>
    <w:rsid w:val="4CF8202F"/>
    <w:rsid w:val="4CFD4AAA"/>
    <w:rsid w:val="4D182801"/>
    <w:rsid w:val="4D1836FB"/>
    <w:rsid w:val="4D533AAF"/>
    <w:rsid w:val="4D79073E"/>
    <w:rsid w:val="4D7B0185"/>
    <w:rsid w:val="4D9E34B9"/>
    <w:rsid w:val="4DAC7F99"/>
    <w:rsid w:val="4DBF6851"/>
    <w:rsid w:val="4DC90683"/>
    <w:rsid w:val="4DC94ACF"/>
    <w:rsid w:val="4DD67F46"/>
    <w:rsid w:val="4DE047C5"/>
    <w:rsid w:val="4DE54991"/>
    <w:rsid w:val="4DF05258"/>
    <w:rsid w:val="4E252D2A"/>
    <w:rsid w:val="4E3D565E"/>
    <w:rsid w:val="4E3F795C"/>
    <w:rsid w:val="4E40707C"/>
    <w:rsid w:val="4E42373A"/>
    <w:rsid w:val="4E507D99"/>
    <w:rsid w:val="4E5B1955"/>
    <w:rsid w:val="4E866E0A"/>
    <w:rsid w:val="4E8D2056"/>
    <w:rsid w:val="4EAD5C2E"/>
    <w:rsid w:val="4EBB286E"/>
    <w:rsid w:val="4ED21F42"/>
    <w:rsid w:val="4EE07940"/>
    <w:rsid w:val="4EF647A8"/>
    <w:rsid w:val="4F093E78"/>
    <w:rsid w:val="4F1D2082"/>
    <w:rsid w:val="4F1E444B"/>
    <w:rsid w:val="4F280A7B"/>
    <w:rsid w:val="4F2B223C"/>
    <w:rsid w:val="4F2C416E"/>
    <w:rsid w:val="4F3B0396"/>
    <w:rsid w:val="4F4D0E89"/>
    <w:rsid w:val="4F5464CE"/>
    <w:rsid w:val="4F55307E"/>
    <w:rsid w:val="4F602B90"/>
    <w:rsid w:val="4F6F5219"/>
    <w:rsid w:val="4F8E4B27"/>
    <w:rsid w:val="4F907AA4"/>
    <w:rsid w:val="4FA60918"/>
    <w:rsid w:val="4FB476B5"/>
    <w:rsid w:val="4FBC4BF4"/>
    <w:rsid w:val="4FD65B1E"/>
    <w:rsid w:val="50051405"/>
    <w:rsid w:val="500832F8"/>
    <w:rsid w:val="501136F0"/>
    <w:rsid w:val="502256AD"/>
    <w:rsid w:val="504215FA"/>
    <w:rsid w:val="50451DB7"/>
    <w:rsid w:val="504B791D"/>
    <w:rsid w:val="5050039D"/>
    <w:rsid w:val="50501952"/>
    <w:rsid w:val="508168F7"/>
    <w:rsid w:val="508F60CA"/>
    <w:rsid w:val="50981162"/>
    <w:rsid w:val="50AB080A"/>
    <w:rsid w:val="50B00921"/>
    <w:rsid w:val="50BC7B28"/>
    <w:rsid w:val="50C06385"/>
    <w:rsid w:val="50C11611"/>
    <w:rsid w:val="50CE6418"/>
    <w:rsid w:val="50D40BCA"/>
    <w:rsid w:val="50D70E9D"/>
    <w:rsid w:val="50F35D93"/>
    <w:rsid w:val="50FA44CD"/>
    <w:rsid w:val="510036F5"/>
    <w:rsid w:val="5105303B"/>
    <w:rsid w:val="51114085"/>
    <w:rsid w:val="511216F1"/>
    <w:rsid w:val="512A1CE3"/>
    <w:rsid w:val="514516F1"/>
    <w:rsid w:val="51545650"/>
    <w:rsid w:val="516E7D73"/>
    <w:rsid w:val="5180209A"/>
    <w:rsid w:val="51897721"/>
    <w:rsid w:val="519667AD"/>
    <w:rsid w:val="51973EE4"/>
    <w:rsid w:val="51A84D41"/>
    <w:rsid w:val="51AA2482"/>
    <w:rsid w:val="51B1317F"/>
    <w:rsid w:val="51B82B60"/>
    <w:rsid w:val="51C23429"/>
    <w:rsid w:val="51C67CA8"/>
    <w:rsid w:val="51DB1E92"/>
    <w:rsid w:val="51E14E39"/>
    <w:rsid w:val="51ED757F"/>
    <w:rsid w:val="52150A7D"/>
    <w:rsid w:val="52414306"/>
    <w:rsid w:val="52457AEB"/>
    <w:rsid w:val="52564EE5"/>
    <w:rsid w:val="52666F95"/>
    <w:rsid w:val="526763FB"/>
    <w:rsid w:val="526D2AE2"/>
    <w:rsid w:val="52741EC2"/>
    <w:rsid w:val="52A975E0"/>
    <w:rsid w:val="52E00BDA"/>
    <w:rsid w:val="52E1213E"/>
    <w:rsid w:val="53336AAE"/>
    <w:rsid w:val="533A136C"/>
    <w:rsid w:val="53480B19"/>
    <w:rsid w:val="5355264E"/>
    <w:rsid w:val="535F2BBA"/>
    <w:rsid w:val="537C67BA"/>
    <w:rsid w:val="53AF337A"/>
    <w:rsid w:val="53B26284"/>
    <w:rsid w:val="53B759F4"/>
    <w:rsid w:val="53B82303"/>
    <w:rsid w:val="53D225A4"/>
    <w:rsid w:val="53DF4479"/>
    <w:rsid w:val="54121236"/>
    <w:rsid w:val="54157C9B"/>
    <w:rsid w:val="54186AD3"/>
    <w:rsid w:val="54371F77"/>
    <w:rsid w:val="543B112A"/>
    <w:rsid w:val="54493D1D"/>
    <w:rsid w:val="544A4D29"/>
    <w:rsid w:val="54547B86"/>
    <w:rsid w:val="545E0121"/>
    <w:rsid w:val="546A3396"/>
    <w:rsid w:val="54760B52"/>
    <w:rsid w:val="5477405D"/>
    <w:rsid w:val="5481317B"/>
    <w:rsid w:val="5494027A"/>
    <w:rsid w:val="54A21918"/>
    <w:rsid w:val="54AA76FF"/>
    <w:rsid w:val="54B92F65"/>
    <w:rsid w:val="54DA00AC"/>
    <w:rsid w:val="54DE5937"/>
    <w:rsid w:val="54E05AE9"/>
    <w:rsid w:val="54E82ECC"/>
    <w:rsid w:val="54ED3248"/>
    <w:rsid w:val="54FB3C17"/>
    <w:rsid w:val="55220DA5"/>
    <w:rsid w:val="55272CCA"/>
    <w:rsid w:val="552B579B"/>
    <w:rsid w:val="55487F01"/>
    <w:rsid w:val="555C6E60"/>
    <w:rsid w:val="556B7BE3"/>
    <w:rsid w:val="556E398A"/>
    <w:rsid w:val="556F1F83"/>
    <w:rsid w:val="558114B8"/>
    <w:rsid w:val="55813D78"/>
    <w:rsid w:val="55867E72"/>
    <w:rsid w:val="55910F8E"/>
    <w:rsid w:val="55AB500F"/>
    <w:rsid w:val="55B256C0"/>
    <w:rsid w:val="55C73811"/>
    <w:rsid w:val="55DF79E5"/>
    <w:rsid w:val="5611384C"/>
    <w:rsid w:val="561B28DD"/>
    <w:rsid w:val="561D05FE"/>
    <w:rsid w:val="5635520A"/>
    <w:rsid w:val="564846E1"/>
    <w:rsid w:val="566056C5"/>
    <w:rsid w:val="56641FF0"/>
    <w:rsid w:val="566C0CDE"/>
    <w:rsid w:val="567F34E2"/>
    <w:rsid w:val="56840D14"/>
    <w:rsid w:val="568868CC"/>
    <w:rsid w:val="56933527"/>
    <w:rsid w:val="56994311"/>
    <w:rsid w:val="569B0A3B"/>
    <w:rsid w:val="569C4AD4"/>
    <w:rsid w:val="56A90562"/>
    <w:rsid w:val="56AD325A"/>
    <w:rsid w:val="56AD47B1"/>
    <w:rsid w:val="56B913AD"/>
    <w:rsid w:val="56CF0F2B"/>
    <w:rsid w:val="56DA0859"/>
    <w:rsid w:val="56DC35DD"/>
    <w:rsid w:val="56E17318"/>
    <w:rsid w:val="56FD590E"/>
    <w:rsid w:val="56FE257B"/>
    <w:rsid w:val="57036880"/>
    <w:rsid w:val="572B37BA"/>
    <w:rsid w:val="57305E26"/>
    <w:rsid w:val="57314C5A"/>
    <w:rsid w:val="574A5794"/>
    <w:rsid w:val="575A261C"/>
    <w:rsid w:val="57A6426A"/>
    <w:rsid w:val="57D14267"/>
    <w:rsid w:val="57E01724"/>
    <w:rsid w:val="57F307C1"/>
    <w:rsid w:val="57FA2BAA"/>
    <w:rsid w:val="57FA43F1"/>
    <w:rsid w:val="580162E5"/>
    <w:rsid w:val="58041F34"/>
    <w:rsid w:val="5815497A"/>
    <w:rsid w:val="581C6799"/>
    <w:rsid w:val="58327181"/>
    <w:rsid w:val="585D149C"/>
    <w:rsid w:val="586621B6"/>
    <w:rsid w:val="589C683B"/>
    <w:rsid w:val="58B9588A"/>
    <w:rsid w:val="58C14572"/>
    <w:rsid w:val="58C73AD7"/>
    <w:rsid w:val="58DA2920"/>
    <w:rsid w:val="58F020A3"/>
    <w:rsid w:val="58FB332B"/>
    <w:rsid w:val="58FB4864"/>
    <w:rsid w:val="59011144"/>
    <w:rsid w:val="59090D3D"/>
    <w:rsid w:val="59540A82"/>
    <w:rsid w:val="59594578"/>
    <w:rsid w:val="59631729"/>
    <w:rsid w:val="598A7A09"/>
    <w:rsid w:val="59B33075"/>
    <w:rsid w:val="59B63D96"/>
    <w:rsid w:val="59C13ED2"/>
    <w:rsid w:val="59E6253A"/>
    <w:rsid w:val="59E7033F"/>
    <w:rsid w:val="59E8544B"/>
    <w:rsid w:val="5A0354F7"/>
    <w:rsid w:val="5A1E5359"/>
    <w:rsid w:val="5A291824"/>
    <w:rsid w:val="5A344ECC"/>
    <w:rsid w:val="5A390B46"/>
    <w:rsid w:val="5A492723"/>
    <w:rsid w:val="5A5D74BC"/>
    <w:rsid w:val="5A7B4428"/>
    <w:rsid w:val="5A7C5C8F"/>
    <w:rsid w:val="5A90403D"/>
    <w:rsid w:val="5A9D71ED"/>
    <w:rsid w:val="5AA2571A"/>
    <w:rsid w:val="5AB04EDE"/>
    <w:rsid w:val="5AC64C86"/>
    <w:rsid w:val="5ACF4A76"/>
    <w:rsid w:val="5AD51064"/>
    <w:rsid w:val="5ADE295C"/>
    <w:rsid w:val="5AEB0C39"/>
    <w:rsid w:val="5AF8170C"/>
    <w:rsid w:val="5B05555C"/>
    <w:rsid w:val="5B110237"/>
    <w:rsid w:val="5B1649CC"/>
    <w:rsid w:val="5B244DD8"/>
    <w:rsid w:val="5B2717CA"/>
    <w:rsid w:val="5B295890"/>
    <w:rsid w:val="5B2E4556"/>
    <w:rsid w:val="5B3879B9"/>
    <w:rsid w:val="5B436EF0"/>
    <w:rsid w:val="5B4D2B80"/>
    <w:rsid w:val="5B550806"/>
    <w:rsid w:val="5B893F6C"/>
    <w:rsid w:val="5B9F1B41"/>
    <w:rsid w:val="5BA37F28"/>
    <w:rsid w:val="5BAE24A8"/>
    <w:rsid w:val="5BB117B1"/>
    <w:rsid w:val="5BB678A4"/>
    <w:rsid w:val="5BC51BF0"/>
    <w:rsid w:val="5BC665EC"/>
    <w:rsid w:val="5BCF26D8"/>
    <w:rsid w:val="5C0B7CEE"/>
    <w:rsid w:val="5C217DF1"/>
    <w:rsid w:val="5C44015E"/>
    <w:rsid w:val="5C4D41F0"/>
    <w:rsid w:val="5C554BC5"/>
    <w:rsid w:val="5C7D3D43"/>
    <w:rsid w:val="5C882C4F"/>
    <w:rsid w:val="5C8962BA"/>
    <w:rsid w:val="5CA70B0A"/>
    <w:rsid w:val="5CBD523A"/>
    <w:rsid w:val="5CCD31A9"/>
    <w:rsid w:val="5CD2475E"/>
    <w:rsid w:val="5CF86CAE"/>
    <w:rsid w:val="5D0B3776"/>
    <w:rsid w:val="5D3210FF"/>
    <w:rsid w:val="5D3721B9"/>
    <w:rsid w:val="5D443020"/>
    <w:rsid w:val="5D47572E"/>
    <w:rsid w:val="5D485FD5"/>
    <w:rsid w:val="5D487E79"/>
    <w:rsid w:val="5D516A2D"/>
    <w:rsid w:val="5D643C45"/>
    <w:rsid w:val="5D65410C"/>
    <w:rsid w:val="5D6C5E39"/>
    <w:rsid w:val="5D71281A"/>
    <w:rsid w:val="5D7D662C"/>
    <w:rsid w:val="5D954FBB"/>
    <w:rsid w:val="5DE847B7"/>
    <w:rsid w:val="5E0779FA"/>
    <w:rsid w:val="5E162F9C"/>
    <w:rsid w:val="5E1D5BB1"/>
    <w:rsid w:val="5E1D5F77"/>
    <w:rsid w:val="5E234035"/>
    <w:rsid w:val="5E2911D4"/>
    <w:rsid w:val="5E3C52A1"/>
    <w:rsid w:val="5E4F7B9F"/>
    <w:rsid w:val="5E5D1A5A"/>
    <w:rsid w:val="5E751A3D"/>
    <w:rsid w:val="5E7762CF"/>
    <w:rsid w:val="5E8460C1"/>
    <w:rsid w:val="5EBF574D"/>
    <w:rsid w:val="5EC9135A"/>
    <w:rsid w:val="5ED14E5B"/>
    <w:rsid w:val="5EF04B7B"/>
    <w:rsid w:val="5EFF3DE0"/>
    <w:rsid w:val="5F007B24"/>
    <w:rsid w:val="5F106EAF"/>
    <w:rsid w:val="5F283CA5"/>
    <w:rsid w:val="5F305F32"/>
    <w:rsid w:val="5F425A26"/>
    <w:rsid w:val="5F4E3CB5"/>
    <w:rsid w:val="5F7D1E64"/>
    <w:rsid w:val="5F9374D0"/>
    <w:rsid w:val="5F9C25EB"/>
    <w:rsid w:val="5FDA48B5"/>
    <w:rsid w:val="5FE25384"/>
    <w:rsid w:val="5FE875BC"/>
    <w:rsid w:val="60550DC1"/>
    <w:rsid w:val="60671E65"/>
    <w:rsid w:val="607562A7"/>
    <w:rsid w:val="608664A5"/>
    <w:rsid w:val="608C7B28"/>
    <w:rsid w:val="608F41F2"/>
    <w:rsid w:val="609E6925"/>
    <w:rsid w:val="60B369E7"/>
    <w:rsid w:val="60BA77CD"/>
    <w:rsid w:val="60C63F24"/>
    <w:rsid w:val="60CA2B58"/>
    <w:rsid w:val="60E73E36"/>
    <w:rsid w:val="60F23EEF"/>
    <w:rsid w:val="60F80C2F"/>
    <w:rsid w:val="613468C2"/>
    <w:rsid w:val="613A48D5"/>
    <w:rsid w:val="61487E7F"/>
    <w:rsid w:val="614C4BCD"/>
    <w:rsid w:val="614F6149"/>
    <w:rsid w:val="61572E4F"/>
    <w:rsid w:val="615D1AF9"/>
    <w:rsid w:val="61610E12"/>
    <w:rsid w:val="616128EC"/>
    <w:rsid w:val="616720C6"/>
    <w:rsid w:val="61725619"/>
    <w:rsid w:val="617E294F"/>
    <w:rsid w:val="618649E8"/>
    <w:rsid w:val="619104F5"/>
    <w:rsid w:val="619932A7"/>
    <w:rsid w:val="61AB7C65"/>
    <w:rsid w:val="61AD5F1B"/>
    <w:rsid w:val="61C3512C"/>
    <w:rsid w:val="61DB7979"/>
    <w:rsid w:val="62073433"/>
    <w:rsid w:val="620B3059"/>
    <w:rsid w:val="620D753C"/>
    <w:rsid w:val="62181D46"/>
    <w:rsid w:val="626800FE"/>
    <w:rsid w:val="626B7791"/>
    <w:rsid w:val="62721747"/>
    <w:rsid w:val="628762A4"/>
    <w:rsid w:val="628C2933"/>
    <w:rsid w:val="628C4312"/>
    <w:rsid w:val="62AB1D8D"/>
    <w:rsid w:val="62C42917"/>
    <w:rsid w:val="62D9309F"/>
    <w:rsid w:val="62DE5A92"/>
    <w:rsid w:val="62E73481"/>
    <w:rsid w:val="62ED42C9"/>
    <w:rsid w:val="62F0419C"/>
    <w:rsid w:val="62FA55D0"/>
    <w:rsid w:val="631A7E52"/>
    <w:rsid w:val="63234C0F"/>
    <w:rsid w:val="634B4DB7"/>
    <w:rsid w:val="634C01CF"/>
    <w:rsid w:val="635665B8"/>
    <w:rsid w:val="637A72AA"/>
    <w:rsid w:val="63A83A82"/>
    <w:rsid w:val="63CB3622"/>
    <w:rsid w:val="63D600F2"/>
    <w:rsid w:val="63E31E9D"/>
    <w:rsid w:val="63E37B19"/>
    <w:rsid w:val="640434E5"/>
    <w:rsid w:val="64185C22"/>
    <w:rsid w:val="643B275E"/>
    <w:rsid w:val="64411A38"/>
    <w:rsid w:val="64587275"/>
    <w:rsid w:val="646A5BED"/>
    <w:rsid w:val="64C4485F"/>
    <w:rsid w:val="64DA076B"/>
    <w:rsid w:val="64E36924"/>
    <w:rsid w:val="64E9112D"/>
    <w:rsid w:val="65014155"/>
    <w:rsid w:val="65142B38"/>
    <w:rsid w:val="6520621E"/>
    <w:rsid w:val="653D68E6"/>
    <w:rsid w:val="6558033E"/>
    <w:rsid w:val="65630AA9"/>
    <w:rsid w:val="656A3683"/>
    <w:rsid w:val="656A7144"/>
    <w:rsid w:val="657B048C"/>
    <w:rsid w:val="657F70B1"/>
    <w:rsid w:val="65865107"/>
    <w:rsid w:val="659242EE"/>
    <w:rsid w:val="65B0069A"/>
    <w:rsid w:val="65B61ED7"/>
    <w:rsid w:val="65E9533F"/>
    <w:rsid w:val="65F76683"/>
    <w:rsid w:val="65F93869"/>
    <w:rsid w:val="660B2971"/>
    <w:rsid w:val="660B5D8E"/>
    <w:rsid w:val="66224F9D"/>
    <w:rsid w:val="6632531C"/>
    <w:rsid w:val="66635814"/>
    <w:rsid w:val="667237CD"/>
    <w:rsid w:val="66953E2E"/>
    <w:rsid w:val="669F7CBA"/>
    <w:rsid w:val="66AE39AD"/>
    <w:rsid w:val="66B00768"/>
    <w:rsid w:val="66D05152"/>
    <w:rsid w:val="66FB73E6"/>
    <w:rsid w:val="670A4B9E"/>
    <w:rsid w:val="67171C12"/>
    <w:rsid w:val="671C012D"/>
    <w:rsid w:val="672534F5"/>
    <w:rsid w:val="672E507D"/>
    <w:rsid w:val="673936D7"/>
    <w:rsid w:val="67517AFA"/>
    <w:rsid w:val="67805AAD"/>
    <w:rsid w:val="679850C1"/>
    <w:rsid w:val="67AB1B26"/>
    <w:rsid w:val="67AF11C7"/>
    <w:rsid w:val="67B265D1"/>
    <w:rsid w:val="67B30E44"/>
    <w:rsid w:val="67C23B71"/>
    <w:rsid w:val="67C501C3"/>
    <w:rsid w:val="67DA7D95"/>
    <w:rsid w:val="67E55296"/>
    <w:rsid w:val="67E87F7F"/>
    <w:rsid w:val="68080A2F"/>
    <w:rsid w:val="681E7CFD"/>
    <w:rsid w:val="68221B5F"/>
    <w:rsid w:val="682633F9"/>
    <w:rsid w:val="68270406"/>
    <w:rsid w:val="68273145"/>
    <w:rsid w:val="682A5BF7"/>
    <w:rsid w:val="68535738"/>
    <w:rsid w:val="68721156"/>
    <w:rsid w:val="687C423F"/>
    <w:rsid w:val="68B44299"/>
    <w:rsid w:val="68BA7D39"/>
    <w:rsid w:val="68C25D28"/>
    <w:rsid w:val="68D033F3"/>
    <w:rsid w:val="68D06E03"/>
    <w:rsid w:val="68DC689F"/>
    <w:rsid w:val="68E0170A"/>
    <w:rsid w:val="68F302CC"/>
    <w:rsid w:val="690D472E"/>
    <w:rsid w:val="69123CE1"/>
    <w:rsid w:val="69141C2E"/>
    <w:rsid w:val="69184264"/>
    <w:rsid w:val="693350FB"/>
    <w:rsid w:val="695479FA"/>
    <w:rsid w:val="696F1E02"/>
    <w:rsid w:val="69705CB0"/>
    <w:rsid w:val="69762AAC"/>
    <w:rsid w:val="697826BD"/>
    <w:rsid w:val="69874F79"/>
    <w:rsid w:val="69997553"/>
    <w:rsid w:val="699D5604"/>
    <w:rsid w:val="69AA23F5"/>
    <w:rsid w:val="69BF7EC3"/>
    <w:rsid w:val="69D330B4"/>
    <w:rsid w:val="69F432B5"/>
    <w:rsid w:val="6A1B5C00"/>
    <w:rsid w:val="6A2835EC"/>
    <w:rsid w:val="6A291175"/>
    <w:rsid w:val="6A2C34AA"/>
    <w:rsid w:val="6A6459AF"/>
    <w:rsid w:val="6A820F91"/>
    <w:rsid w:val="6A824374"/>
    <w:rsid w:val="6A87407F"/>
    <w:rsid w:val="6A99127D"/>
    <w:rsid w:val="6AB8004E"/>
    <w:rsid w:val="6AB861B4"/>
    <w:rsid w:val="6AD96CB7"/>
    <w:rsid w:val="6B0F3C1E"/>
    <w:rsid w:val="6B13077A"/>
    <w:rsid w:val="6B1424DD"/>
    <w:rsid w:val="6B221E5F"/>
    <w:rsid w:val="6B272595"/>
    <w:rsid w:val="6B2B1CE6"/>
    <w:rsid w:val="6B2F5E6F"/>
    <w:rsid w:val="6B4629BA"/>
    <w:rsid w:val="6B4C3CF7"/>
    <w:rsid w:val="6B6B5CD2"/>
    <w:rsid w:val="6B711394"/>
    <w:rsid w:val="6B7C0E69"/>
    <w:rsid w:val="6B882178"/>
    <w:rsid w:val="6BA078E7"/>
    <w:rsid w:val="6BB36B04"/>
    <w:rsid w:val="6BB564DC"/>
    <w:rsid w:val="6BC576AE"/>
    <w:rsid w:val="6BC82F86"/>
    <w:rsid w:val="6BCC1277"/>
    <w:rsid w:val="6BE4278E"/>
    <w:rsid w:val="6BEA1F9C"/>
    <w:rsid w:val="6BFC4F57"/>
    <w:rsid w:val="6C1F76C2"/>
    <w:rsid w:val="6C455CAB"/>
    <w:rsid w:val="6C4E1244"/>
    <w:rsid w:val="6C5B6EEC"/>
    <w:rsid w:val="6C5D2D2B"/>
    <w:rsid w:val="6C6E3EA2"/>
    <w:rsid w:val="6C7765FE"/>
    <w:rsid w:val="6C8008DC"/>
    <w:rsid w:val="6CAA5E4D"/>
    <w:rsid w:val="6CC60DC9"/>
    <w:rsid w:val="6CD44DB3"/>
    <w:rsid w:val="6CDC7845"/>
    <w:rsid w:val="6D000FC4"/>
    <w:rsid w:val="6D031778"/>
    <w:rsid w:val="6D08005D"/>
    <w:rsid w:val="6D0A7C83"/>
    <w:rsid w:val="6D106FB7"/>
    <w:rsid w:val="6D1C3F9C"/>
    <w:rsid w:val="6D2B7848"/>
    <w:rsid w:val="6D4A67A4"/>
    <w:rsid w:val="6D517127"/>
    <w:rsid w:val="6D5D5CC1"/>
    <w:rsid w:val="6D6B744D"/>
    <w:rsid w:val="6D97577B"/>
    <w:rsid w:val="6DA07DE7"/>
    <w:rsid w:val="6DA721E6"/>
    <w:rsid w:val="6DBE5CD2"/>
    <w:rsid w:val="6DE374BA"/>
    <w:rsid w:val="6DEC6B1D"/>
    <w:rsid w:val="6E0F6ED4"/>
    <w:rsid w:val="6E1A3D81"/>
    <w:rsid w:val="6E20601C"/>
    <w:rsid w:val="6E2A5041"/>
    <w:rsid w:val="6E2C4FDA"/>
    <w:rsid w:val="6E3A38A7"/>
    <w:rsid w:val="6E41574E"/>
    <w:rsid w:val="6E4660D0"/>
    <w:rsid w:val="6E4A043D"/>
    <w:rsid w:val="6E6F129A"/>
    <w:rsid w:val="6E8C7E9A"/>
    <w:rsid w:val="6EA7226C"/>
    <w:rsid w:val="6EB13143"/>
    <w:rsid w:val="6EBF0F07"/>
    <w:rsid w:val="6EC3545C"/>
    <w:rsid w:val="6ECA78B1"/>
    <w:rsid w:val="6EFD5C0F"/>
    <w:rsid w:val="6F0211AE"/>
    <w:rsid w:val="6F081FAF"/>
    <w:rsid w:val="6F1D5BE7"/>
    <w:rsid w:val="6F252E0D"/>
    <w:rsid w:val="6F257D94"/>
    <w:rsid w:val="6F4379DD"/>
    <w:rsid w:val="6F6A055F"/>
    <w:rsid w:val="6F6A09C1"/>
    <w:rsid w:val="6F733EF8"/>
    <w:rsid w:val="6F7478CD"/>
    <w:rsid w:val="6F7C4610"/>
    <w:rsid w:val="6F8310B0"/>
    <w:rsid w:val="6FA66C5B"/>
    <w:rsid w:val="6FAF4A0F"/>
    <w:rsid w:val="6FB917DB"/>
    <w:rsid w:val="6FC80B1A"/>
    <w:rsid w:val="6FD31A72"/>
    <w:rsid w:val="6FD412E1"/>
    <w:rsid w:val="6FDC0E21"/>
    <w:rsid w:val="6FEA1D9F"/>
    <w:rsid w:val="6FEE7DF4"/>
    <w:rsid w:val="6FF43A17"/>
    <w:rsid w:val="6FF473BA"/>
    <w:rsid w:val="6FFC588A"/>
    <w:rsid w:val="70233526"/>
    <w:rsid w:val="70306C17"/>
    <w:rsid w:val="70754C0A"/>
    <w:rsid w:val="70810F20"/>
    <w:rsid w:val="70984F7D"/>
    <w:rsid w:val="709970EF"/>
    <w:rsid w:val="709C1A8C"/>
    <w:rsid w:val="70AA5925"/>
    <w:rsid w:val="70B27B70"/>
    <w:rsid w:val="70CE09C3"/>
    <w:rsid w:val="70E41A32"/>
    <w:rsid w:val="71147566"/>
    <w:rsid w:val="71287630"/>
    <w:rsid w:val="712C1AEB"/>
    <w:rsid w:val="713148BC"/>
    <w:rsid w:val="71371CF9"/>
    <w:rsid w:val="713E5AE7"/>
    <w:rsid w:val="716F1C44"/>
    <w:rsid w:val="717E7A69"/>
    <w:rsid w:val="71806D32"/>
    <w:rsid w:val="71AD6FAE"/>
    <w:rsid w:val="71AE30B5"/>
    <w:rsid w:val="71C27EC8"/>
    <w:rsid w:val="71C33DD0"/>
    <w:rsid w:val="72005AE6"/>
    <w:rsid w:val="72104AC2"/>
    <w:rsid w:val="72124041"/>
    <w:rsid w:val="72135B21"/>
    <w:rsid w:val="721601E1"/>
    <w:rsid w:val="72337620"/>
    <w:rsid w:val="723F5BDB"/>
    <w:rsid w:val="72570EA7"/>
    <w:rsid w:val="726C2611"/>
    <w:rsid w:val="72726B56"/>
    <w:rsid w:val="727355E2"/>
    <w:rsid w:val="72A11E23"/>
    <w:rsid w:val="72A322A5"/>
    <w:rsid w:val="72A82AD9"/>
    <w:rsid w:val="72AF0917"/>
    <w:rsid w:val="72B3210B"/>
    <w:rsid w:val="72CF7ADB"/>
    <w:rsid w:val="72E75951"/>
    <w:rsid w:val="72E91B02"/>
    <w:rsid w:val="72F9284C"/>
    <w:rsid w:val="72FF3233"/>
    <w:rsid w:val="7311772D"/>
    <w:rsid w:val="732650C3"/>
    <w:rsid w:val="733C616F"/>
    <w:rsid w:val="7340334A"/>
    <w:rsid w:val="734A7EB9"/>
    <w:rsid w:val="73586DC3"/>
    <w:rsid w:val="735B05AA"/>
    <w:rsid w:val="736811C4"/>
    <w:rsid w:val="73725CC7"/>
    <w:rsid w:val="739B35DE"/>
    <w:rsid w:val="73DA0AAB"/>
    <w:rsid w:val="73FA2A89"/>
    <w:rsid w:val="73FF32CB"/>
    <w:rsid w:val="7405758D"/>
    <w:rsid w:val="74301EA6"/>
    <w:rsid w:val="74386E56"/>
    <w:rsid w:val="7439010A"/>
    <w:rsid w:val="743F7814"/>
    <w:rsid w:val="74622F2F"/>
    <w:rsid w:val="7497088D"/>
    <w:rsid w:val="74A30572"/>
    <w:rsid w:val="74C73FE3"/>
    <w:rsid w:val="74DC5A55"/>
    <w:rsid w:val="74E63482"/>
    <w:rsid w:val="74E71A82"/>
    <w:rsid w:val="74F64E3F"/>
    <w:rsid w:val="74FD1B30"/>
    <w:rsid w:val="751D0E17"/>
    <w:rsid w:val="754A05DC"/>
    <w:rsid w:val="75942A40"/>
    <w:rsid w:val="75A023F2"/>
    <w:rsid w:val="75C5780F"/>
    <w:rsid w:val="75FB2A56"/>
    <w:rsid w:val="75FF18EA"/>
    <w:rsid w:val="76023351"/>
    <w:rsid w:val="76144048"/>
    <w:rsid w:val="761730DD"/>
    <w:rsid w:val="762514F1"/>
    <w:rsid w:val="762C5C47"/>
    <w:rsid w:val="765512FB"/>
    <w:rsid w:val="765E31FB"/>
    <w:rsid w:val="766477E6"/>
    <w:rsid w:val="76687032"/>
    <w:rsid w:val="7672045B"/>
    <w:rsid w:val="76766B2A"/>
    <w:rsid w:val="767F2D37"/>
    <w:rsid w:val="76895AED"/>
    <w:rsid w:val="7698131F"/>
    <w:rsid w:val="76984EB1"/>
    <w:rsid w:val="76991A17"/>
    <w:rsid w:val="76BA50E5"/>
    <w:rsid w:val="76C42FE0"/>
    <w:rsid w:val="76D42781"/>
    <w:rsid w:val="76D81D5A"/>
    <w:rsid w:val="77067FBD"/>
    <w:rsid w:val="771672D4"/>
    <w:rsid w:val="771A06F0"/>
    <w:rsid w:val="77236D53"/>
    <w:rsid w:val="772A5AB9"/>
    <w:rsid w:val="774D3DC3"/>
    <w:rsid w:val="776A22E2"/>
    <w:rsid w:val="776D6580"/>
    <w:rsid w:val="778B1E85"/>
    <w:rsid w:val="778C04E9"/>
    <w:rsid w:val="778F2765"/>
    <w:rsid w:val="77B360B7"/>
    <w:rsid w:val="77E22291"/>
    <w:rsid w:val="78125407"/>
    <w:rsid w:val="78163E0D"/>
    <w:rsid w:val="78300AEE"/>
    <w:rsid w:val="784F14F7"/>
    <w:rsid w:val="78507637"/>
    <w:rsid w:val="7859168E"/>
    <w:rsid w:val="7867796C"/>
    <w:rsid w:val="787F40EE"/>
    <w:rsid w:val="78985EAB"/>
    <w:rsid w:val="789E5F80"/>
    <w:rsid w:val="78B4709E"/>
    <w:rsid w:val="78B57BD3"/>
    <w:rsid w:val="78C14DB7"/>
    <w:rsid w:val="78C243BF"/>
    <w:rsid w:val="78D81144"/>
    <w:rsid w:val="78F669DD"/>
    <w:rsid w:val="78F824F7"/>
    <w:rsid w:val="79047D24"/>
    <w:rsid w:val="792073FF"/>
    <w:rsid w:val="79255B1E"/>
    <w:rsid w:val="79327BE3"/>
    <w:rsid w:val="793423B9"/>
    <w:rsid w:val="794674FF"/>
    <w:rsid w:val="794F5E9D"/>
    <w:rsid w:val="7950305C"/>
    <w:rsid w:val="79596ED9"/>
    <w:rsid w:val="795B7FA5"/>
    <w:rsid w:val="796606AB"/>
    <w:rsid w:val="797279F9"/>
    <w:rsid w:val="798B6440"/>
    <w:rsid w:val="79976759"/>
    <w:rsid w:val="799C0BFC"/>
    <w:rsid w:val="79B50C6F"/>
    <w:rsid w:val="79D319E8"/>
    <w:rsid w:val="79D5121E"/>
    <w:rsid w:val="79E06AB0"/>
    <w:rsid w:val="79FA156C"/>
    <w:rsid w:val="7A0527D6"/>
    <w:rsid w:val="7A073B40"/>
    <w:rsid w:val="7A1E66A7"/>
    <w:rsid w:val="7A3B4E23"/>
    <w:rsid w:val="7A3E3C86"/>
    <w:rsid w:val="7A421F6B"/>
    <w:rsid w:val="7A985BAD"/>
    <w:rsid w:val="7A9C129D"/>
    <w:rsid w:val="7AAC617C"/>
    <w:rsid w:val="7ABB0835"/>
    <w:rsid w:val="7ABE7A74"/>
    <w:rsid w:val="7AC30B08"/>
    <w:rsid w:val="7AC3193E"/>
    <w:rsid w:val="7AD41DBD"/>
    <w:rsid w:val="7AD825ED"/>
    <w:rsid w:val="7ADE9B34"/>
    <w:rsid w:val="7AE7522B"/>
    <w:rsid w:val="7AE81597"/>
    <w:rsid w:val="7AF11E4A"/>
    <w:rsid w:val="7AFC756B"/>
    <w:rsid w:val="7B026045"/>
    <w:rsid w:val="7B0A616D"/>
    <w:rsid w:val="7B1530FA"/>
    <w:rsid w:val="7B6A65F9"/>
    <w:rsid w:val="7B73525D"/>
    <w:rsid w:val="7B754167"/>
    <w:rsid w:val="7B841502"/>
    <w:rsid w:val="7B856B69"/>
    <w:rsid w:val="7BA51FAA"/>
    <w:rsid w:val="7BA71431"/>
    <w:rsid w:val="7BAB65F0"/>
    <w:rsid w:val="7BC5601A"/>
    <w:rsid w:val="7BE067C0"/>
    <w:rsid w:val="7BF7355E"/>
    <w:rsid w:val="7C041716"/>
    <w:rsid w:val="7C0F6F8D"/>
    <w:rsid w:val="7C1832E2"/>
    <w:rsid w:val="7C2C3168"/>
    <w:rsid w:val="7C60764A"/>
    <w:rsid w:val="7C7F077B"/>
    <w:rsid w:val="7C9A2C55"/>
    <w:rsid w:val="7CB570A3"/>
    <w:rsid w:val="7CC85D2E"/>
    <w:rsid w:val="7CFA0A3C"/>
    <w:rsid w:val="7CFB25C5"/>
    <w:rsid w:val="7D024938"/>
    <w:rsid w:val="7D0432EA"/>
    <w:rsid w:val="7D071A67"/>
    <w:rsid w:val="7D153027"/>
    <w:rsid w:val="7D240558"/>
    <w:rsid w:val="7D4E4391"/>
    <w:rsid w:val="7D6A50D1"/>
    <w:rsid w:val="7D6C1F0C"/>
    <w:rsid w:val="7D6F7C2B"/>
    <w:rsid w:val="7D7B5BD6"/>
    <w:rsid w:val="7D812A55"/>
    <w:rsid w:val="7D9828AA"/>
    <w:rsid w:val="7DA15DD8"/>
    <w:rsid w:val="7DA54E7B"/>
    <w:rsid w:val="7DAD4B1E"/>
    <w:rsid w:val="7DCE4670"/>
    <w:rsid w:val="7DDB6F5C"/>
    <w:rsid w:val="7DDF08B2"/>
    <w:rsid w:val="7DDF7781"/>
    <w:rsid w:val="7DF70C0E"/>
    <w:rsid w:val="7E2F58AE"/>
    <w:rsid w:val="7E38373F"/>
    <w:rsid w:val="7E464EB2"/>
    <w:rsid w:val="7E5724CE"/>
    <w:rsid w:val="7E5B4BE3"/>
    <w:rsid w:val="7E6C79E8"/>
    <w:rsid w:val="7E6D09FF"/>
    <w:rsid w:val="7E6E14DC"/>
    <w:rsid w:val="7EB90785"/>
    <w:rsid w:val="7EE97E69"/>
    <w:rsid w:val="7EEF15E6"/>
    <w:rsid w:val="7F0F3C4C"/>
    <w:rsid w:val="7F102E25"/>
    <w:rsid w:val="7F2B3490"/>
    <w:rsid w:val="7F4167DE"/>
    <w:rsid w:val="7F81479C"/>
    <w:rsid w:val="7F932247"/>
    <w:rsid w:val="7F961536"/>
    <w:rsid w:val="7FB772DD"/>
    <w:rsid w:val="7FD5728C"/>
    <w:rsid w:val="7FE66A22"/>
    <w:rsid w:val="7FED0787"/>
    <w:rsid w:val="7FF352B9"/>
    <w:rsid w:val="97FF39B1"/>
    <w:rsid w:val="CFDEDFA1"/>
    <w:rsid w:val="F7DB875C"/>
    <w:rsid w:val="FFD4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31"/>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qFormat/>
    <w:uiPriority w:val="0"/>
    <w:pPr>
      <w:keepNext/>
      <w:keepLines/>
      <w:outlineLvl w:val="2"/>
    </w:pPr>
    <w:rPr>
      <w:rFonts w:ascii="宋体" w:hAnsi="宋体" w:eastAsia="黑体"/>
      <w:bCs/>
      <w:sz w:val="24"/>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qFormat/>
    <w:uiPriority w:val="0"/>
    <w:pPr>
      <w:spacing w:beforeLines="50"/>
    </w:pPr>
    <w:rPr>
      <w:rFonts w:ascii="宋体" w:hAnsi="宋体"/>
      <w:szCs w:val="20"/>
    </w:r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toc 3"/>
    <w:basedOn w:val="1"/>
    <w:next w:val="1"/>
    <w:uiPriority w:val="0"/>
    <w:pPr>
      <w:ind w:left="840" w:leftChars="400"/>
    </w:pPr>
  </w:style>
  <w:style w:type="paragraph" w:styleId="13">
    <w:name w:val="Plain Text"/>
    <w:basedOn w:val="1"/>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spacing w:before="120" w:after="120"/>
      <w:jc w:val="left"/>
    </w:pPr>
    <w:rPr>
      <w:rFonts w:cs="Calibri"/>
      <w:b/>
      <w:bCs/>
      <w:caps/>
      <w:sz w:val="20"/>
      <w:szCs w:val="20"/>
    </w:rPr>
  </w:style>
  <w:style w:type="paragraph" w:styleId="17">
    <w:name w:val="footnote text"/>
    <w:basedOn w:val="1"/>
    <w:unhideWhenUsed/>
    <w:qFormat/>
    <w:uiPriority w:val="0"/>
    <w:pPr>
      <w:snapToGrid w:val="0"/>
      <w:jc w:val="left"/>
    </w:pPr>
    <w:rPr>
      <w:sz w:val="18"/>
      <w:szCs w:val="18"/>
    </w:rPr>
  </w:style>
  <w:style w:type="paragraph" w:styleId="18">
    <w:name w:val="toc 2"/>
    <w:basedOn w:val="1"/>
    <w:next w:val="1"/>
    <w:uiPriority w:val="0"/>
    <w:pPr>
      <w:ind w:left="420" w:leftChars="200"/>
    </w:pPr>
  </w:style>
  <w:style w:type="paragraph" w:styleId="19">
    <w:name w:val="Normal (Web)"/>
    <w:basedOn w:val="1"/>
    <w:qFormat/>
    <w:uiPriority w:val="0"/>
    <w:pPr>
      <w:spacing w:before="100" w:beforeAutospacing="1" w:after="100" w:afterAutospacing="1"/>
    </w:pPr>
    <w:rPr>
      <w:rFonts w:ascii="宋体" w:hAnsi="宋体" w:eastAsia="宋体" w:cs="宋体"/>
      <w:sz w:val="24"/>
      <w:szCs w:val="24"/>
      <w:lang w:val="en-US" w:eastAsia="zh-CN" w:bidi="ar-SA"/>
    </w:rPr>
  </w:style>
  <w:style w:type="paragraph" w:styleId="20">
    <w:name w:val="index 1"/>
    <w:basedOn w:val="1"/>
    <w:next w:val="1"/>
    <w:semiHidden/>
    <w:qFormat/>
    <w:uiPriority w:val="0"/>
    <w:pPr>
      <w:spacing w:line="220" w:lineRule="exact"/>
      <w:jc w:val="center"/>
    </w:pPr>
    <w:rPr>
      <w:rFonts w:ascii="仿宋_GB2312" w:eastAsia="仿宋_GB2312"/>
      <w:szCs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annotation reference"/>
    <w:qFormat/>
    <w:uiPriority w:val="0"/>
    <w:rPr>
      <w:sz w:val="21"/>
      <w:szCs w:val="21"/>
    </w:rPr>
  </w:style>
  <w:style w:type="character" w:styleId="26">
    <w:name w:val="footnote reference"/>
    <w:qFormat/>
    <w:uiPriority w:val="0"/>
    <w:rPr>
      <w:vertAlign w:val="superscript"/>
    </w:rPr>
  </w:style>
  <w:style w:type="paragraph" w:customStyle="1" w:styleId="2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8">
    <w:name w:val="表格"/>
    <w:basedOn w:val="1"/>
    <w:qFormat/>
    <w:uiPriority w:val="0"/>
    <w:pPr>
      <w:textAlignment w:val="center"/>
    </w:pPr>
    <w:rPr>
      <w:rFonts w:ascii="华文细黑" w:hAnsi="华文细黑"/>
      <w:kern w:val="0"/>
      <w:szCs w:val="20"/>
    </w:rPr>
  </w:style>
  <w:style w:type="paragraph" w:customStyle="1" w:styleId="29">
    <w:name w:val="正文 题目"/>
    <w:basedOn w:val="1"/>
    <w:qFormat/>
    <w:uiPriority w:val="0"/>
    <w:pPr>
      <w:jc w:val="center"/>
    </w:pPr>
    <w:rPr>
      <w:rFonts w:ascii="黑体" w:hAnsi="黑体" w:eastAsia="黑体"/>
      <w:sz w:val="28"/>
    </w:rPr>
  </w:style>
  <w:style w:type="paragraph" w:customStyle="1" w:styleId="30">
    <w:name w:val="列出段落1"/>
    <w:basedOn w:val="1"/>
    <w:qFormat/>
    <w:uiPriority w:val="99"/>
    <w:rPr>
      <w:rFonts w:ascii="Times New Roman" w:hAnsi="Times New Roman"/>
    </w:rPr>
  </w:style>
  <w:style w:type="character" w:customStyle="1" w:styleId="31">
    <w:name w:val="标题 2 字符"/>
    <w:link w:val="4"/>
    <w:qFormat/>
    <w:uiPriority w:val="0"/>
    <w:rPr>
      <w:rFonts w:ascii="Arial" w:hAnsi="Arial"/>
      <w:b/>
      <w:bCs/>
      <w:sz w:val="28"/>
      <w:szCs w:val="32"/>
    </w:rPr>
  </w:style>
  <w:style w:type="paragraph" w:customStyle="1" w:styleId="3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5">
    <w:name w:val="font21"/>
    <w:basedOn w:val="23"/>
    <w:qFormat/>
    <w:uiPriority w:val="0"/>
    <w:rPr>
      <w:rFonts w:hint="eastAsia" w:ascii="宋体" w:hAnsi="宋体" w:eastAsia="宋体" w:cs="宋体"/>
      <w:color w:val="000000"/>
      <w:sz w:val="24"/>
      <w:szCs w:val="24"/>
      <w:u w:val="none"/>
    </w:rPr>
  </w:style>
  <w:style w:type="character" w:customStyle="1" w:styleId="36">
    <w:name w:val="font01"/>
    <w:basedOn w:val="23"/>
    <w:qFormat/>
    <w:uiPriority w:val="0"/>
    <w:rPr>
      <w:rFonts w:hint="default" w:ascii="Times New Roman" w:hAnsi="Times New Roman" w:cs="Times New Roman"/>
      <w:color w:val="000000"/>
      <w:sz w:val="24"/>
      <w:szCs w:val="24"/>
      <w:u w:val="none"/>
    </w:rPr>
  </w:style>
  <w:style w:type="character" w:customStyle="1" w:styleId="37">
    <w:name w:val="font11"/>
    <w:basedOn w:val="23"/>
    <w:qFormat/>
    <w:uiPriority w:val="0"/>
    <w:rPr>
      <w:rFonts w:hint="default" w:ascii="Times New Roman" w:hAnsi="Times New Roman" w:cs="Times New Roman"/>
      <w:color w:val="000000"/>
      <w:sz w:val="20"/>
      <w:szCs w:val="20"/>
      <w:u w:val="none"/>
    </w:rPr>
  </w:style>
  <w:style w:type="character" w:customStyle="1" w:styleId="38">
    <w:name w:val="font31"/>
    <w:basedOn w:val="23"/>
    <w:qFormat/>
    <w:uiPriority w:val="0"/>
    <w:rPr>
      <w:rFonts w:hint="eastAsia" w:ascii="宋体" w:hAnsi="宋体" w:eastAsia="宋体" w:cs="宋体"/>
      <w:color w:val="000000"/>
      <w:sz w:val="20"/>
      <w:szCs w:val="20"/>
      <w:u w:val="none"/>
    </w:rPr>
  </w:style>
  <w:style w:type="paragraph" w:customStyle="1" w:styleId="39">
    <w:name w:val="（叙述性）内文"/>
    <w:basedOn w:val="40"/>
    <w:qFormat/>
    <w:uiPriority w:val="2303"/>
    <w:pPr>
      <w:spacing w:after="45" w:line="360" w:lineRule="atLeast"/>
      <w:ind w:firstLine="397"/>
    </w:pPr>
    <w:rPr>
      <w:rFonts w:ascii="方正宋一简体" w:hAnsi="方正宋一简体" w:eastAsia="黑体" w:cs="方正宋一简体"/>
      <w:sz w:val="19"/>
      <w:szCs w:val="19"/>
    </w:rPr>
  </w:style>
  <w:style w:type="paragraph" w:customStyle="1" w:styleId="40">
    <w:name w:val="[No paragraph style]"/>
    <w:qFormat/>
    <w:uiPriority w:val="6"/>
    <w:pPr>
      <w:widowControl w:val="0"/>
      <w:spacing w:line="288" w:lineRule="auto"/>
      <w:jc w:val="both"/>
    </w:pPr>
    <w:rPr>
      <w:rFonts w:ascii="宋体" w:hAnsi="宋体" w:eastAsia="宋体" w:cs="宋体"/>
      <w:color w:val="000000"/>
      <w:sz w:val="24"/>
      <w:szCs w:val="24"/>
      <w:lang w:val="zh-CN" w:eastAsia="zh-CN" w:bidi="ar-SA"/>
    </w:rPr>
  </w:style>
  <w:style w:type="table" w:customStyle="1" w:styleId="41">
    <w:name w:val="Table Grid_0"/>
    <w:autoRedefine/>
    <w:qFormat/>
    <w:uiPriority w:val="59"/>
    <w:rPr>
      <w:rFonts w:ascii="等线" w:hAnsi="等线"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8703</Words>
  <Characters>9575</Characters>
  <Lines>209</Lines>
  <Paragraphs>59</Paragraphs>
  <TotalTime>1</TotalTime>
  <ScaleCrop>false</ScaleCrop>
  <LinksUpToDate>false</LinksUpToDate>
  <CharactersWithSpaces>9982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2022-11-23T02:34:00Z</dcterms:created>
  <dc:creator>huajie</dc:creator>
  <cp:lastModifiedBy>j.sc</cp:lastModifiedBy>
  <cp:lastPrinted>2024-04-25T09:04:00Z</cp:lastPrinted>
  <dcterms:modified xsi:type="dcterms:W3CDTF">2025-11-24T11:49:44Z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2D73CB81855A439C85C3977373B95EED_13</vt:lpwstr>
  </property>
  <property fmtid="{D5CDD505-2E9C-101B-9397-08002B2CF9AE}" pid="4" name="commondata">
    <vt:lpwstr>eyJoZGlkIjoiYzgxOTMyMWQ3ZmNkMzE2MDY3OGUwYjIyYzM1NGM4NTcifQ==</vt:lpwstr>
  </property>
  <property fmtid="{D5CDD505-2E9C-101B-9397-08002B2CF9AE}" pid="5" name="KSOTemplateDocerSaveRecord">
    <vt:lpwstr>eyJoZGlkIjoiYmM4ZjcxZDEyYTI0YjRhNTJlNzkxNTVhMTY2ZWNjMjIiLCJ1c2VySWQiOiIyNTQ0MTQzMDMifQ==</vt:lpwstr>
  </property>
</Properties>
</file>