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6390F">
      <w:pPr>
        <w:pStyle w:val="9"/>
        <w:rPr>
          <w:rFonts w:ascii="Times New Roman" w:hAnsi="Times New Roman"/>
          <w:highlight w:val="none"/>
        </w:rPr>
      </w:pPr>
    </w:p>
    <w:p w14:paraId="3027C741">
      <w:pPr>
        <w:widowControl/>
        <w:jc w:val="center"/>
        <w:rPr>
          <w:rFonts w:ascii="Times New Roman" w:hAnsi="Times New Roman"/>
          <w:sz w:val="24"/>
          <w:highlight w:val="none"/>
        </w:rPr>
      </w:pPr>
    </w:p>
    <w:p w14:paraId="5CA70D3F">
      <w:pPr>
        <w:widowControl/>
        <w:jc w:val="center"/>
        <w:rPr>
          <w:rFonts w:ascii="Times New Roman" w:hAnsi="Times New Roman"/>
          <w:sz w:val="24"/>
          <w:highlight w:val="none"/>
        </w:rPr>
      </w:pPr>
    </w:p>
    <w:p w14:paraId="3566651E">
      <w:pPr>
        <w:pStyle w:val="9"/>
        <w:jc w:val="center"/>
        <w:rPr>
          <w:rFonts w:hint="eastAsia" w:ascii="仿宋_GB2312" w:hAnsi="仿宋_GB2312" w:eastAsia="仿宋_GB2312" w:cs="仿宋"/>
          <w:b/>
          <w:bCs/>
          <w:kern w:val="0"/>
          <w:sz w:val="44"/>
          <w:szCs w:val="44"/>
          <w:highlight w:val="none"/>
        </w:rPr>
      </w:pPr>
      <w:r>
        <w:rPr>
          <w:rFonts w:hint="eastAsia" w:ascii="仿宋_GB2312" w:hAnsi="仿宋_GB2312" w:eastAsia="仿宋_GB2312" w:cs="仿宋"/>
          <w:b/>
          <w:bCs/>
          <w:kern w:val="0"/>
          <w:sz w:val="44"/>
          <w:szCs w:val="44"/>
          <w:highlight w:val="none"/>
        </w:rPr>
        <w:t>青浦区华新镇安联明悦邸（安联·虹悦）</w:t>
      </w:r>
    </w:p>
    <w:p w14:paraId="1B36918E">
      <w:pPr>
        <w:pStyle w:val="9"/>
        <w:jc w:val="center"/>
        <w:rPr>
          <w:rFonts w:hint="eastAsia" w:ascii="仿宋_GB2312" w:hAnsi="仿宋_GB2312" w:eastAsia="仿宋_GB2312" w:cs="仿宋"/>
          <w:b/>
          <w:bCs/>
          <w:kern w:val="0"/>
          <w:sz w:val="44"/>
          <w:szCs w:val="44"/>
          <w:highlight w:val="none"/>
        </w:rPr>
      </w:pPr>
      <w:r>
        <w:rPr>
          <w:rFonts w:hint="eastAsia" w:ascii="仿宋_GB2312" w:hAnsi="仿宋_GB2312" w:eastAsia="仿宋_GB2312" w:cs="仿宋"/>
          <w:b/>
          <w:bCs/>
          <w:kern w:val="0"/>
          <w:sz w:val="44"/>
          <w:szCs w:val="44"/>
          <w:highlight w:val="none"/>
          <w:lang w:val="en-US" w:eastAsia="zh-CN"/>
        </w:rPr>
        <w:t>2025年拓客礼品采购</w:t>
      </w:r>
    </w:p>
    <w:p w14:paraId="47D7F228">
      <w:pPr>
        <w:pStyle w:val="9"/>
        <w:rPr>
          <w:rFonts w:ascii="Times New Roman" w:hAnsi="Times New Roman"/>
          <w:szCs w:val="21"/>
          <w:highlight w:val="none"/>
        </w:rPr>
      </w:pPr>
    </w:p>
    <w:p w14:paraId="4BD3D6AC">
      <w:pPr>
        <w:pStyle w:val="9"/>
        <w:rPr>
          <w:rFonts w:ascii="Times New Roman" w:hAnsi="Times New Roman"/>
          <w:szCs w:val="21"/>
          <w:highlight w:val="none"/>
        </w:rPr>
      </w:pPr>
    </w:p>
    <w:p w14:paraId="77960C5D">
      <w:pPr>
        <w:pStyle w:val="9"/>
        <w:rPr>
          <w:rFonts w:ascii="Times New Roman" w:hAnsi="Times New Roman"/>
          <w:szCs w:val="21"/>
          <w:highlight w:val="none"/>
        </w:rPr>
      </w:pPr>
    </w:p>
    <w:p w14:paraId="643AC9FC">
      <w:pPr>
        <w:spacing w:line="540" w:lineRule="exact"/>
        <w:ind w:firstLine="420"/>
        <w:rPr>
          <w:rFonts w:ascii="Times New Roman" w:hAnsi="Times New Roman"/>
          <w:szCs w:val="21"/>
          <w:highlight w:val="none"/>
        </w:rPr>
      </w:pPr>
    </w:p>
    <w:p w14:paraId="39ADA7D8">
      <w:pPr>
        <w:jc w:val="center"/>
        <w:rPr>
          <w:rFonts w:ascii="Times New Roman" w:hAnsi="Times New Roman" w:eastAsia="黑体"/>
          <w:sz w:val="72"/>
          <w:szCs w:val="72"/>
          <w:highlight w:val="none"/>
        </w:rPr>
      </w:pPr>
      <w:r>
        <w:rPr>
          <w:rFonts w:ascii="Times New Roman" w:hAnsi="Times New Roman" w:eastAsia="黑体"/>
          <w:sz w:val="72"/>
          <w:szCs w:val="72"/>
          <w:highlight w:val="none"/>
        </w:rPr>
        <w:t>询  比  文  件</w:t>
      </w:r>
    </w:p>
    <w:p w14:paraId="48333499">
      <w:pPr>
        <w:spacing w:line="540" w:lineRule="exact"/>
        <w:ind w:firstLine="420"/>
        <w:rPr>
          <w:rFonts w:ascii="Times New Roman" w:hAnsi="Times New Roman"/>
          <w:szCs w:val="21"/>
          <w:highlight w:val="none"/>
        </w:rPr>
      </w:pPr>
    </w:p>
    <w:p w14:paraId="69A4BC8E">
      <w:pPr>
        <w:spacing w:line="540" w:lineRule="exact"/>
        <w:ind w:firstLine="420"/>
        <w:rPr>
          <w:rFonts w:ascii="Times New Roman" w:hAnsi="Times New Roman"/>
          <w:szCs w:val="21"/>
          <w:highlight w:val="none"/>
        </w:rPr>
      </w:pPr>
    </w:p>
    <w:p w14:paraId="60631625">
      <w:pPr>
        <w:spacing w:line="540" w:lineRule="exact"/>
        <w:ind w:firstLine="420"/>
        <w:rPr>
          <w:rFonts w:ascii="Times New Roman" w:hAnsi="Times New Roman"/>
          <w:szCs w:val="21"/>
          <w:highlight w:val="none"/>
        </w:rPr>
      </w:pPr>
    </w:p>
    <w:p w14:paraId="639ED506">
      <w:pPr>
        <w:spacing w:line="540" w:lineRule="exact"/>
        <w:ind w:firstLine="420"/>
        <w:rPr>
          <w:rFonts w:ascii="Times New Roman" w:hAnsi="Times New Roman"/>
          <w:szCs w:val="21"/>
          <w:highlight w:val="none"/>
        </w:rPr>
      </w:pPr>
    </w:p>
    <w:p w14:paraId="52775E0A">
      <w:pPr>
        <w:spacing w:line="540" w:lineRule="exact"/>
        <w:ind w:firstLine="420"/>
        <w:rPr>
          <w:rFonts w:ascii="Times New Roman" w:hAnsi="Times New Roman"/>
          <w:szCs w:val="21"/>
          <w:highlight w:val="none"/>
        </w:rPr>
      </w:pPr>
    </w:p>
    <w:p w14:paraId="1ABE8005">
      <w:pPr>
        <w:spacing w:line="540" w:lineRule="exact"/>
        <w:ind w:firstLine="420"/>
        <w:rPr>
          <w:rFonts w:ascii="Times New Roman" w:hAnsi="Times New Roman"/>
          <w:szCs w:val="21"/>
          <w:highlight w:val="none"/>
        </w:rPr>
      </w:pPr>
    </w:p>
    <w:p w14:paraId="6CBD3A92">
      <w:pPr>
        <w:spacing w:line="540" w:lineRule="exact"/>
        <w:ind w:firstLine="420"/>
        <w:rPr>
          <w:rFonts w:ascii="Times New Roman" w:hAnsi="Times New Roman"/>
          <w:szCs w:val="21"/>
          <w:highlight w:val="none"/>
        </w:rPr>
      </w:pPr>
    </w:p>
    <w:p w14:paraId="64C9CB48">
      <w:pPr>
        <w:spacing w:line="540" w:lineRule="exact"/>
        <w:ind w:firstLine="420"/>
        <w:rPr>
          <w:rFonts w:ascii="Times New Roman" w:hAnsi="Times New Roman"/>
          <w:szCs w:val="21"/>
          <w:highlight w:val="none"/>
        </w:rPr>
      </w:pPr>
    </w:p>
    <w:p w14:paraId="084B16DA">
      <w:pPr>
        <w:spacing w:line="540" w:lineRule="exact"/>
        <w:ind w:firstLine="420"/>
        <w:rPr>
          <w:rFonts w:ascii="Times New Roman" w:hAnsi="Times New Roman"/>
          <w:szCs w:val="21"/>
          <w:highlight w:val="none"/>
        </w:rPr>
      </w:pPr>
    </w:p>
    <w:p w14:paraId="20A423DC">
      <w:pPr>
        <w:snapToGrid w:val="0"/>
        <w:ind w:firstLine="1280" w:firstLineChars="400"/>
        <w:rPr>
          <w:rFonts w:ascii="Times New Roman" w:hAnsi="Times New Roman"/>
          <w:sz w:val="32"/>
          <w:szCs w:val="32"/>
          <w:highlight w:val="none"/>
        </w:rPr>
      </w:pPr>
      <w:r>
        <w:rPr>
          <w:rFonts w:ascii="Times New Roman" w:hAnsi="Times New Roman" w:eastAsia="黑体"/>
          <w:sz w:val="32"/>
          <w:szCs w:val="32"/>
          <w:highlight w:val="none"/>
        </w:rPr>
        <w:t>采 购 人：</w:t>
      </w:r>
      <w:r>
        <w:rPr>
          <w:rFonts w:ascii="Times New Roman" w:hAnsi="Times New Roman" w:eastAsia="黑体"/>
          <w:sz w:val="32"/>
          <w:szCs w:val="32"/>
          <w:highlight w:val="none"/>
          <w:u w:val="single"/>
        </w:rPr>
        <w:t xml:space="preserve">  </w:t>
      </w:r>
      <w:r>
        <w:rPr>
          <w:rFonts w:hint="eastAsia" w:ascii="Times New Roman" w:hAnsi="Times New Roman" w:eastAsia="黑体"/>
          <w:sz w:val="32"/>
          <w:szCs w:val="32"/>
          <w:highlight w:val="none"/>
          <w:u w:val="single"/>
        </w:rPr>
        <w:t>上海迈信房地产开发有限公司</w:t>
      </w:r>
      <w:r>
        <w:rPr>
          <w:rFonts w:ascii="Times New Roman" w:hAnsi="Times New Roman" w:eastAsia="黑体"/>
          <w:sz w:val="32"/>
          <w:szCs w:val="32"/>
          <w:highlight w:val="none"/>
          <w:u w:val="single"/>
        </w:rPr>
        <w:t xml:space="preserve">  </w:t>
      </w:r>
    </w:p>
    <w:p w14:paraId="75FB72C2">
      <w:pPr>
        <w:snapToGrid w:val="0"/>
        <w:ind w:left="1896" w:leftChars="903"/>
        <w:rPr>
          <w:rFonts w:ascii="Times New Roman" w:hAnsi="Times New Roman"/>
          <w:sz w:val="32"/>
          <w:szCs w:val="32"/>
          <w:highlight w:val="none"/>
        </w:rPr>
      </w:pPr>
      <w:r>
        <w:rPr>
          <w:rFonts w:ascii="Times New Roman" w:hAnsi="Times New Roman"/>
          <w:sz w:val="32"/>
          <w:szCs w:val="32"/>
          <w:highlight w:val="none"/>
        </w:rPr>
        <w:t xml:space="preserve"> </w:t>
      </w:r>
    </w:p>
    <w:p w14:paraId="72D13D1E">
      <w:pPr>
        <w:snapToGrid w:val="0"/>
        <w:ind w:firstLine="1280" w:firstLineChars="400"/>
        <w:rPr>
          <w:rFonts w:ascii="Times New Roman" w:hAnsi="Times New Roman"/>
          <w:sz w:val="32"/>
          <w:szCs w:val="32"/>
          <w:highlight w:val="none"/>
        </w:rPr>
      </w:pPr>
      <w:r>
        <w:rPr>
          <w:rFonts w:ascii="Times New Roman" w:hAnsi="Times New Roman" w:eastAsia="黑体"/>
          <w:sz w:val="32"/>
          <w:szCs w:val="32"/>
          <w:highlight w:val="none"/>
        </w:rPr>
        <w:t>日    期</w:t>
      </w:r>
      <w:r>
        <w:rPr>
          <w:rFonts w:ascii="Times New Roman" w:hAnsi="Times New Roman"/>
          <w:sz w:val="32"/>
          <w:szCs w:val="32"/>
          <w:highlight w:val="none"/>
        </w:rPr>
        <w:t>：</w:t>
      </w:r>
      <w:r>
        <w:rPr>
          <w:rFonts w:ascii="Times New Roman" w:hAnsi="Times New Roman" w:eastAsia="黑体"/>
          <w:sz w:val="32"/>
          <w:szCs w:val="32"/>
          <w:highlight w:val="none"/>
          <w:u w:val="single"/>
        </w:rPr>
        <w:t xml:space="preserve">  </w:t>
      </w:r>
      <w:r>
        <w:rPr>
          <w:rFonts w:hint="eastAsia" w:ascii="Times New Roman" w:hAnsi="Times New Roman" w:eastAsia="黑体"/>
          <w:sz w:val="32"/>
          <w:szCs w:val="32"/>
          <w:highlight w:val="none"/>
          <w:u w:val="single"/>
          <w:lang w:val="en-US" w:eastAsia="zh-CN"/>
        </w:rPr>
        <w:t>2025</w:t>
      </w:r>
      <w:r>
        <w:rPr>
          <w:rFonts w:ascii="Times New Roman" w:hAnsi="Times New Roman" w:eastAsia="黑体"/>
          <w:sz w:val="32"/>
          <w:szCs w:val="32"/>
          <w:highlight w:val="none"/>
          <w:u w:val="single"/>
        </w:rPr>
        <w:t xml:space="preserve"> </w:t>
      </w:r>
      <w:r>
        <w:rPr>
          <w:rFonts w:hint="eastAsia" w:ascii="Times New Roman" w:hAnsi="Times New Roman" w:eastAsia="黑体"/>
          <w:sz w:val="32"/>
          <w:szCs w:val="32"/>
          <w:highlight w:val="none"/>
          <w:u w:val="single"/>
          <w:lang w:val="en-US" w:eastAsia="zh-CN"/>
        </w:rPr>
        <w:t xml:space="preserve"> </w:t>
      </w:r>
      <w:r>
        <w:rPr>
          <w:rFonts w:ascii="Times New Roman" w:hAnsi="Times New Roman"/>
          <w:sz w:val="32"/>
          <w:szCs w:val="32"/>
          <w:highlight w:val="none"/>
        </w:rPr>
        <w:t>年</w:t>
      </w:r>
      <w:r>
        <w:rPr>
          <w:rFonts w:ascii="Times New Roman" w:hAnsi="Times New Roman" w:eastAsia="黑体"/>
          <w:sz w:val="32"/>
          <w:szCs w:val="32"/>
          <w:highlight w:val="none"/>
          <w:u w:val="single"/>
        </w:rPr>
        <w:t xml:space="preserve">  </w:t>
      </w:r>
      <w:r>
        <w:rPr>
          <w:rFonts w:hint="eastAsia" w:ascii="Times New Roman" w:hAnsi="Times New Roman" w:eastAsia="黑体"/>
          <w:sz w:val="32"/>
          <w:szCs w:val="32"/>
          <w:highlight w:val="none"/>
          <w:u w:val="single"/>
          <w:lang w:val="en-US" w:eastAsia="zh-CN"/>
        </w:rPr>
        <w:t xml:space="preserve"> 10</w:t>
      </w:r>
      <w:r>
        <w:rPr>
          <w:rFonts w:ascii="Times New Roman" w:hAnsi="Times New Roman" w:eastAsia="黑体"/>
          <w:sz w:val="32"/>
          <w:szCs w:val="32"/>
          <w:highlight w:val="none"/>
          <w:u w:val="single"/>
        </w:rPr>
        <w:t xml:space="preserve"> </w:t>
      </w:r>
      <w:r>
        <w:rPr>
          <w:rFonts w:hint="eastAsia" w:ascii="Times New Roman" w:hAnsi="Times New Roman" w:eastAsia="黑体"/>
          <w:sz w:val="32"/>
          <w:szCs w:val="32"/>
          <w:highlight w:val="none"/>
          <w:u w:val="single"/>
          <w:lang w:val="en-US" w:eastAsia="zh-CN"/>
        </w:rPr>
        <w:t xml:space="preserve"> </w:t>
      </w:r>
      <w:r>
        <w:rPr>
          <w:rFonts w:ascii="Times New Roman" w:hAnsi="Times New Roman" w:eastAsia="黑体"/>
          <w:sz w:val="32"/>
          <w:szCs w:val="32"/>
          <w:highlight w:val="none"/>
          <w:u w:val="single"/>
        </w:rPr>
        <w:t xml:space="preserve"> </w:t>
      </w:r>
      <w:r>
        <w:rPr>
          <w:rFonts w:ascii="Times New Roman" w:hAnsi="Times New Roman"/>
          <w:sz w:val="32"/>
          <w:szCs w:val="32"/>
          <w:highlight w:val="none"/>
        </w:rPr>
        <w:t>月</w:t>
      </w:r>
      <w:r>
        <w:rPr>
          <w:rFonts w:ascii="Times New Roman" w:hAnsi="Times New Roman" w:eastAsia="黑体"/>
          <w:sz w:val="32"/>
          <w:szCs w:val="32"/>
          <w:highlight w:val="none"/>
          <w:u w:val="single"/>
        </w:rPr>
        <w:t xml:space="preserve">  </w:t>
      </w:r>
      <w:r>
        <w:rPr>
          <w:rFonts w:hint="eastAsia" w:ascii="Times New Roman" w:hAnsi="Times New Roman" w:eastAsia="黑体"/>
          <w:sz w:val="32"/>
          <w:szCs w:val="32"/>
          <w:highlight w:val="none"/>
          <w:u w:val="single"/>
          <w:lang w:val="en-US" w:eastAsia="zh-CN"/>
        </w:rPr>
        <w:t xml:space="preserve"> 21 </w:t>
      </w:r>
      <w:r>
        <w:rPr>
          <w:rFonts w:ascii="Times New Roman" w:hAnsi="Times New Roman" w:eastAsia="黑体"/>
          <w:sz w:val="32"/>
          <w:szCs w:val="32"/>
          <w:highlight w:val="none"/>
          <w:u w:val="single"/>
        </w:rPr>
        <w:t xml:space="preserve">  </w:t>
      </w:r>
      <w:r>
        <w:rPr>
          <w:rFonts w:ascii="Times New Roman" w:hAnsi="Times New Roman"/>
          <w:sz w:val="32"/>
          <w:szCs w:val="32"/>
          <w:highlight w:val="none"/>
        </w:rPr>
        <w:t>日</w:t>
      </w:r>
    </w:p>
    <w:p w14:paraId="56C20C53">
      <w:pPr>
        <w:ind w:left="1896" w:leftChars="903"/>
        <w:rPr>
          <w:rFonts w:ascii="Times New Roman" w:hAnsi="Times New Roman"/>
          <w:sz w:val="24"/>
          <w:highlight w:val="none"/>
        </w:rPr>
        <w:sectPr>
          <w:pgSz w:w="11906" w:h="16838"/>
          <w:pgMar w:top="1440" w:right="1800" w:bottom="1440" w:left="1800" w:header="851" w:footer="992" w:gutter="0"/>
          <w:cols w:space="720" w:num="1"/>
          <w:docGrid w:type="lines" w:linePitch="312" w:charSpace="0"/>
        </w:sectPr>
      </w:pPr>
    </w:p>
    <w:p w14:paraId="0091B3AE">
      <w:pPr>
        <w:pStyle w:val="32"/>
        <w:tabs>
          <w:tab w:val="right" w:leader="dot" w:pos="8312"/>
        </w:tabs>
        <w:jc w:val="center"/>
        <w:rPr>
          <w:rFonts w:ascii="Times New Roman" w:hAnsi="Times New Roman"/>
          <w:sz w:val="28"/>
          <w:szCs w:val="28"/>
          <w:highlight w:val="none"/>
        </w:rPr>
      </w:pPr>
      <w:bookmarkStart w:id="0" w:name="_Toc29292_WPSOffice_Type1"/>
      <w:r>
        <w:rPr>
          <w:rFonts w:ascii="Times New Roman" w:hAnsi="Times New Roman"/>
          <w:sz w:val="28"/>
          <w:szCs w:val="28"/>
          <w:highlight w:val="none"/>
        </w:rPr>
        <w:t>目</w:t>
      </w:r>
      <w:r>
        <w:rPr>
          <w:rFonts w:hint="eastAsia" w:ascii="Times New Roman" w:hAnsi="Times New Roman"/>
          <w:sz w:val="28"/>
          <w:szCs w:val="28"/>
          <w:highlight w:val="none"/>
        </w:rPr>
        <w:t xml:space="preserve">  </w:t>
      </w:r>
      <w:r>
        <w:rPr>
          <w:rFonts w:ascii="Times New Roman" w:hAnsi="Times New Roman"/>
          <w:sz w:val="28"/>
          <w:szCs w:val="28"/>
          <w:highlight w:val="none"/>
        </w:rPr>
        <w:t>录</w:t>
      </w:r>
    </w:p>
    <w:p w14:paraId="7337F2E5">
      <w:pPr>
        <w:pStyle w:val="32"/>
        <w:tabs>
          <w:tab w:val="right" w:leader="dot" w:pos="8312"/>
        </w:tabs>
        <w:rPr>
          <w:rFonts w:hint="eastAsia" w:ascii="Times New Roman" w:hAnsi="Times New Roman" w:eastAsia="宋体"/>
          <w:sz w:val="28"/>
          <w:szCs w:val="28"/>
          <w:highlight w:val="none"/>
          <w:lang w:val="en-US" w:eastAsia="zh-CN"/>
        </w:rPr>
      </w:pPr>
      <w:r>
        <w:rPr>
          <w:highlight w:val="none"/>
        </w:rPr>
        <w:fldChar w:fldCharType="begin"/>
      </w:r>
      <w:r>
        <w:rPr>
          <w:highlight w:val="none"/>
        </w:rPr>
        <w:instrText xml:space="preserve"> HYPERLINK \l "_Toc3689_WPSOffice_Level1" </w:instrText>
      </w:r>
      <w:r>
        <w:rPr>
          <w:highlight w:val="none"/>
        </w:rPr>
        <w:fldChar w:fldCharType="separate"/>
      </w:r>
      <w:r>
        <w:rPr>
          <w:rFonts w:ascii="Times New Roman" w:hAnsi="Times New Roman"/>
          <w:sz w:val="28"/>
          <w:szCs w:val="28"/>
          <w:highlight w:val="none"/>
        </w:rPr>
        <w:t>第一章 采购公告</w:t>
      </w:r>
      <w:r>
        <w:rPr>
          <w:rFonts w:ascii="Times New Roman" w:hAnsi="Times New Roman"/>
          <w:sz w:val="28"/>
          <w:szCs w:val="28"/>
          <w:highlight w:val="none"/>
        </w:rPr>
        <w:tab/>
      </w:r>
      <w:r>
        <w:rPr>
          <w:rFonts w:ascii="Times New Roman" w:hAnsi="Times New Roman"/>
          <w:sz w:val="28"/>
          <w:szCs w:val="28"/>
          <w:highlight w:val="none"/>
        </w:rPr>
        <w:fldChar w:fldCharType="end"/>
      </w:r>
      <w:r>
        <w:rPr>
          <w:rFonts w:hint="eastAsia" w:ascii="Times New Roman" w:hAnsi="Times New Roman"/>
          <w:sz w:val="28"/>
          <w:szCs w:val="28"/>
          <w:highlight w:val="none"/>
          <w:lang w:val="en-US" w:eastAsia="zh-CN"/>
        </w:rPr>
        <w:t>3</w:t>
      </w:r>
    </w:p>
    <w:p w14:paraId="290BD9FD">
      <w:pPr>
        <w:pStyle w:val="32"/>
        <w:tabs>
          <w:tab w:val="right" w:leader="dot" w:pos="8312"/>
        </w:tabs>
        <w:rPr>
          <w:rFonts w:hint="eastAsia" w:ascii="Times New Roman" w:hAnsi="Times New Roman" w:eastAsia="宋体"/>
          <w:sz w:val="28"/>
          <w:szCs w:val="28"/>
          <w:highlight w:val="none"/>
          <w:lang w:val="en-US" w:eastAsia="zh-CN"/>
        </w:rPr>
      </w:pPr>
      <w:r>
        <w:rPr>
          <w:highlight w:val="none"/>
        </w:rPr>
        <w:fldChar w:fldCharType="begin"/>
      </w:r>
      <w:r>
        <w:rPr>
          <w:highlight w:val="none"/>
        </w:rPr>
        <w:instrText xml:space="preserve"> HYPERLINK \l "_Toc26309_WPSOffice_Level1" </w:instrText>
      </w:r>
      <w:r>
        <w:rPr>
          <w:highlight w:val="none"/>
        </w:rPr>
        <w:fldChar w:fldCharType="separate"/>
      </w:r>
      <w:r>
        <w:rPr>
          <w:rFonts w:ascii="Times New Roman" w:hAnsi="Times New Roman"/>
          <w:sz w:val="28"/>
          <w:szCs w:val="28"/>
          <w:highlight w:val="none"/>
        </w:rPr>
        <w:t>第二章 供应商须知</w:t>
      </w:r>
      <w:r>
        <w:rPr>
          <w:rFonts w:ascii="Times New Roman" w:hAnsi="Times New Roman"/>
          <w:sz w:val="28"/>
          <w:szCs w:val="28"/>
          <w:highlight w:val="none"/>
        </w:rPr>
        <w:tab/>
      </w:r>
      <w:r>
        <w:rPr>
          <w:rFonts w:ascii="Times New Roman" w:hAnsi="Times New Roman"/>
          <w:sz w:val="28"/>
          <w:szCs w:val="28"/>
          <w:highlight w:val="none"/>
        </w:rPr>
        <w:fldChar w:fldCharType="end"/>
      </w:r>
      <w:r>
        <w:rPr>
          <w:rFonts w:hint="eastAsia" w:ascii="Times New Roman" w:hAnsi="Times New Roman"/>
          <w:sz w:val="28"/>
          <w:szCs w:val="28"/>
          <w:highlight w:val="none"/>
          <w:lang w:val="en-US" w:eastAsia="zh-CN"/>
        </w:rPr>
        <w:t>5</w:t>
      </w:r>
    </w:p>
    <w:p w14:paraId="12FF2F7F">
      <w:pPr>
        <w:pStyle w:val="32"/>
        <w:tabs>
          <w:tab w:val="right" w:leader="dot" w:pos="8312"/>
        </w:tabs>
        <w:rPr>
          <w:rFonts w:hint="eastAsia" w:ascii="Times New Roman" w:hAnsi="Times New Roman" w:eastAsia="宋体"/>
          <w:sz w:val="28"/>
          <w:szCs w:val="28"/>
          <w:highlight w:val="none"/>
          <w:lang w:val="en-US" w:eastAsia="zh-CN"/>
        </w:rPr>
      </w:pPr>
      <w:r>
        <w:rPr>
          <w:highlight w:val="none"/>
        </w:rPr>
        <w:fldChar w:fldCharType="begin"/>
      </w:r>
      <w:r>
        <w:rPr>
          <w:highlight w:val="none"/>
        </w:rPr>
        <w:instrText xml:space="preserve"> HYPERLINK \l "_Toc17871_WPSOffice_Level1" </w:instrText>
      </w:r>
      <w:r>
        <w:rPr>
          <w:highlight w:val="none"/>
        </w:rPr>
        <w:fldChar w:fldCharType="separate"/>
      </w:r>
      <w:r>
        <w:rPr>
          <w:rFonts w:ascii="Times New Roman" w:hAnsi="Times New Roman"/>
          <w:sz w:val="28"/>
          <w:szCs w:val="28"/>
          <w:highlight w:val="none"/>
        </w:rPr>
        <w:t>第三章 评审办法</w:t>
      </w:r>
      <w:r>
        <w:rPr>
          <w:rFonts w:ascii="Times New Roman" w:hAnsi="Times New Roman"/>
          <w:sz w:val="28"/>
          <w:szCs w:val="28"/>
          <w:highlight w:val="none"/>
        </w:rPr>
        <w:tab/>
      </w:r>
      <w:bookmarkStart w:id="1" w:name="_Toc17871_WPSOffice_Level1Page"/>
      <w:r>
        <w:rPr>
          <w:rFonts w:ascii="Times New Roman" w:hAnsi="Times New Roman"/>
          <w:sz w:val="28"/>
          <w:szCs w:val="28"/>
          <w:highlight w:val="none"/>
        </w:rPr>
        <w:t>1</w:t>
      </w:r>
      <w:bookmarkEnd w:id="1"/>
      <w:r>
        <w:rPr>
          <w:rFonts w:hint="eastAsia" w:ascii="Times New Roman" w:hAnsi="Times New Roman"/>
          <w:sz w:val="28"/>
          <w:szCs w:val="28"/>
          <w:highlight w:val="none"/>
        </w:rPr>
        <w:fldChar w:fldCharType="end"/>
      </w:r>
      <w:r>
        <w:rPr>
          <w:rFonts w:hint="eastAsia" w:ascii="Times New Roman" w:hAnsi="Times New Roman"/>
          <w:sz w:val="28"/>
          <w:szCs w:val="28"/>
          <w:highlight w:val="none"/>
          <w:lang w:val="en-US" w:eastAsia="zh-CN"/>
        </w:rPr>
        <w:t>0</w:t>
      </w:r>
    </w:p>
    <w:p w14:paraId="6C3D17B1">
      <w:pPr>
        <w:pStyle w:val="32"/>
        <w:tabs>
          <w:tab w:val="right" w:leader="dot" w:pos="8312"/>
        </w:tabs>
        <w:rPr>
          <w:rFonts w:hint="default" w:ascii="Times New Roman" w:hAnsi="Times New Roman" w:eastAsia="宋体"/>
          <w:sz w:val="28"/>
          <w:szCs w:val="28"/>
          <w:highlight w:val="none"/>
          <w:lang w:val="en-US" w:eastAsia="zh-CN"/>
        </w:rPr>
      </w:pPr>
      <w:r>
        <w:rPr>
          <w:highlight w:val="none"/>
        </w:rPr>
        <w:fldChar w:fldCharType="begin"/>
      </w:r>
      <w:r>
        <w:rPr>
          <w:highlight w:val="none"/>
        </w:rPr>
        <w:instrText xml:space="preserve"> HYPERLINK \l "_Toc18909_WPSOffice_Level1" </w:instrText>
      </w:r>
      <w:r>
        <w:rPr>
          <w:highlight w:val="none"/>
        </w:rPr>
        <w:fldChar w:fldCharType="separate"/>
      </w:r>
      <w:r>
        <w:rPr>
          <w:rFonts w:ascii="Times New Roman" w:hAnsi="Times New Roman"/>
          <w:sz w:val="28"/>
          <w:szCs w:val="28"/>
          <w:highlight w:val="none"/>
        </w:rPr>
        <w:t>第四章 合同内容</w:t>
      </w:r>
      <w:r>
        <w:rPr>
          <w:rFonts w:ascii="Times New Roman" w:hAnsi="Times New Roman"/>
          <w:sz w:val="28"/>
          <w:szCs w:val="28"/>
          <w:highlight w:val="none"/>
        </w:rPr>
        <w:tab/>
      </w:r>
      <w:r>
        <w:rPr>
          <w:rFonts w:hint="eastAsia" w:ascii="Times New Roman" w:hAnsi="Times New Roman"/>
          <w:sz w:val="28"/>
          <w:szCs w:val="28"/>
          <w:highlight w:val="none"/>
        </w:rPr>
        <w:fldChar w:fldCharType="end"/>
      </w:r>
      <w:r>
        <w:rPr>
          <w:rFonts w:hint="eastAsia" w:ascii="Times New Roman" w:hAnsi="Times New Roman"/>
          <w:sz w:val="28"/>
          <w:szCs w:val="28"/>
          <w:highlight w:val="none"/>
          <w:lang w:val="en-US" w:eastAsia="zh-CN"/>
        </w:rPr>
        <w:t>13</w:t>
      </w:r>
    </w:p>
    <w:p w14:paraId="2A523AC1">
      <w:pPr>
        <w:pStyle w:val="32"/>
        <w:tabs>
          <w:tab w:val="right" w:leader="dot" w:pos="8312"/>
        </w:tabs>
        <w:rPr>
          <w:rFonts w:hint="default" w:ascii="Times New Roman" w:hAnsi="Times New Roman" w:eastAsia="宋体"/>
          <w:sz w:val="28"/>
          <w:szCs w:val="28"/>
          <w:highlight w:val="none"/>
          <w:lang w:val="en-US" w:eastAsia="zh-CN"/>
        </w:rPr>
      </w:pPr>
      <w:r>
        <w:rPr>
          <w:highlight w:val="none"/>
        </w:rPr>
        <w:fldChar w:fldCharType="begin"/>
      </w:r>
      <w:r>
        <w:rPr>
          <w:highlight w:val="none"/>
        </w:rPr>
        <w:instrText xml:space="preserve"> HYPERLINK \l "_Toc5702_WPSOffice_Level1" </w:instrText>
      </w:r>
      <w:r>
        <w:rPr>
          <w:highlight w:val="none"/>
        </w:rPr>
        <w:fldChar w:fldCharType="separate"/>
      </w:r>
      <w:r>
        <w:rPr>
          <w:rFonts w:ascii="Times New Roman" w:hAnsi="Times New Roman"/>
          <w:color w:val="auto"/>
          <w:sz w:val="28"/>
          <w:szCs w:val="28"/>
          <w:highlight w:val="none"/>
        </w:rPr>
        <w:t>第</w:t>
      </w:r>
      <w:r>
        <w:rPr>
          <w:rFonts w:hint="eastAsia" w:ascii="Times New Roman" w:hAnsi="Times New Roman"/>
          <w:color w:val="auto"/>
          <w:sz w:val="28"/>
          <w:szCs w:val="28"/>
          <w:highlight w:val="none"/>
          <w:lang w:val="en-US" w:eastAsia="zh-CN"/>
        </w:rPr>
        <w:t>五</w:t>
      </w:r>
      <w:r>
        <w:rPr>
          <w:rFonts w:ascii="Times New Roman" w:hAnsi="Times New Roman"/>
          <w:color w:val="auto"/>
          <w:sz w:val="28"/>
          <w:szCs w:val="28"/>
          <w:highlight w:val="none"/>
        </w:rPr>
        <w:t>章 响应文</w:t>
      </w:r>
      <w:r>
        <w:rPr>
          <w:rFonts w:ascii="Times New Roman" w:hAnsi="Times New Roman"/>
          <w:sz w:val="28"/>
          <w:szCs w:val="28"/>
          <w:highlight w:val="none"/>
        </w:rPr>
        <w:t>件格式</w:t>
      </w:r>
      <w:r>
        <w:rPr>
          <w:rFonts w:ascii="Times New Roman" w:hAnsi="Times New Roman"/>
          <w:sz w:val="28"/>
          <w:szCs w:val="28"/>
          <w:highlight w:val="none"/>
        </w:rPr>
        <w:tab/>
      </w:r>
      <w:r>
        <w:rPr>
          <w:rFonts w:hint="eastAsia" w:ascii="Times New Roman" w:hAnsi="Times New Roman"/>
          <w:sz w:val="28"/>
          <w:szCs w:val="28"/>
          <w:highlight w:val="none"/>
        </w:rPr>
        <w:fldChar w:fldCharType="end"/>
      </w:r>
      <w:r>
        <w:rPr>
          <w:rFonts w:hint="eastAsia" w:ascii="Times New Roman" w:hAnsi="Times New Roman"/>
          <w:sz w:val="28"/>
          <w:szCs w:val="28"/>
          <w:highlight w:val="none"/>
          <w:lang w:val="en-US" w:eastAsia="zh-CN"/>
        </w:rPr>
        <w:t>21</w:t>
      </w:r>
    </w:p>
    <w:bookmarkEnd w:id="0"/>
    <w:p w14:paraId="5E99AD11">
      <w:pPr>
        <w:pStyle w:val="32"/>
        <w:tabs>
          <w:tab w:val="right" w:leader="dot" w:pos="8312"/>
        </w:tabs>
        <w:rPr>
          <w:highlight w:val="none"/>
        </w:rPr>
      </w:pPr>
    </w:p>
    <w:p w14:paraId="05F7C183">
      <w:pPr>
        <w:jc w:val="center"/>
        <w:rPr>
          <w:rFonts w:ascii="宋体" w:hAnsi="宋体"/>
          <w:highlight w:val="none"/>
        </w:rPr>
      </w:pPr>
    </w:p>
    <w:p w14:paraId="1D4025D1">
      <w:pPr>
        <w:jc w:val="center"/>
        <w:rPr>
          <w:rFonts w:ascii="宋体" w:hAnsi="宋体"/>
          <w:highlight w:val="none"/>
        </w:rPr>
      </w:pPr>
    </w:p>
    <w:p w14:paraId="0DE0082F">
      <w:pPr>
        <w:jc w:val="center"/>
        <w:rPr>
          <w:rFonts w:ascii="宋体" w:hAnsi="宋体"/>
          <w:highlight w:val="none"/>
        </w:rPr>
      </w:pPr>
    </w:p>
    <w:p w14:paraId="0F61B50D">
      <w:pPr>
        <w:jc w:val="center"/>
        <w:rPr>
          <w:rFonts w:ascii="宋体" w:hAnsi="宋体"/>
          <w:highlight w:val="none"/>
        </w:rPr>
      </w:pPr>
    </w:p>
    <w:p w14:paraId="2E438E10">
      <w:pPr>
        <w:jc w:val="center"/>
        <w:rPr>
          <w:rFonts w:ascii="宋体" w:hAnsi="宋体"/>
          <w:highlight w:val="none"/>
        </w:rPr>
      </w:pPr>
    </w:p>
    <w:p w14:paraId="55967ADC">
      <w:pPr>
        <w:pStyle w:val="2"/>
        <w:spacing w:before="312" w:after="312"/>
        <w:rPr>
          <w:rFonts w:ascii="Times New Roman" w:hAnsi="Times New Roman" w:eastAsia="宋体"/>
          <w:highlight w:val="none"/>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43C2EAB9">
      <w:pPr>
        <w:pStyle w:val="2"/>
        <w:spacing w:before="312" w:after="312"/>
        <w:rPr>
          <w:rFonts w:ascii="Times New Roman" w:hAnsi="Times New Roman" w:eastAsia="宋体"/>
          <w:highlight w:val="none"/>
        </w:rPr>
      </w:pPr>
      <w:bookmarkStart w:id="2" w:name="_Toc3689_WPSOffice_Level1"/>
      <w:r>
        <w:rPr>
          <w:rFonts w:ascii="Times New Roman" w:hAnsi="Times New Roman" w:eastAsia="宋体"/>
          <w:highlight w:val="none"/>
        </w:rPr>
        <w:t>采购公告</w:t>
      </w:r>
      <w:bookmarkEnd w:id="2"/>
    </w:p>
    <w:p w14:paraId="7D65A949">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3" w:name="_Toc13871"/>
      <w:bookmarkStart w:id="4" w:name="_Toc24354_WPSOffice_Level2"/>
      <w:bookmarkStart w:id="5" w:name="_Toc4489_WPSOffice_Level2"/>
      <w:bookmarkStart w:id="6" w:name="_Toc10395_WPSOffice_Level2"/>
      <w:bookmarkStart w:id="7" w:name="_Toc6496_WPSOffice_Level2"/>
      <w:bookmarkStart w:id="8" w:name="_Toc525632585"/>
      <w:bookmarkStart w:id="9" w:name="_Toc12765"/>
      <w:r>
        <w:rPr>
          <w:rFonts w:hint="eastAsia" w:ascii="宋体" w:hAnsi="宋体" w:eastAsia="宋体" w:cs="宋体"/>
          <w:bCs w:val="0"/>
          <w:sz w:val="18"/>
          <w:szCs w:val="18"/>
          <w:highlight w:val="none"/>
        </w:rPr>
        <w:t>项目简介</w:t>
      </w:r>
      <w:bookmarkEnd w:id="3"/>
      <w:bookmarkEnd w:id="4"/>
      <w:bookmarkEnd w:id="5"/>
      <w:bookmarkEnd w:id="6"/>
      <w:bookmarkEnd w:id="7"/>
      <w:bookmarkEnd w:id="8"/>
      <w:bookmarkEnd w:id="9"/>
    </w:p>
    <w:p w14:paraId="2C431CDA">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1.1 项目名称：</w:t>
      </w:r>
      <w:r>
        <w:rPr>
          <w:rFonts w:hint="eastAsia" w:ascii="宋体" w:hAnsi="宋体" w:eastAsia="宋体" w:cs="宋体"/>
          <w:sz w:val="18"/>
          <w:szCs w:val="18"/>
          <w:highlight w:val="none"/>
          <w:u w:val="single"/>
        </w:rPr>
        <w:t xml:space="preserve"> 青浦区华新镇安联明悦邸（安联·虹悦）</w:t>
      </w:r>
      <w:r>
        <w:rPr>
          <w:rFonts w:hint="eastAsia" w:ascii="宋体" w:hAnsi="宋体" w:eastAsia="宋体" w:cs="宋体"/>
          <w:sz w:val="18"/>
          <w:szCs w:val="18"/>
          <w:highlight w:val="none"/>
          <w:u w:val="single"/>
          <w:lang w:val="en-US" w:eastAsia="zh-CN"/>
        </w:rPr>
        <w:t>2025年</w:t>
      </w:r>
      <w:r>
        <w:rPr>
          <w:rFonts w:hint="eastAsia" w:ascii="宋体" w:hAnsi="宋体" w:cs="宋体"/>
          <w:sz w:val="18"/>
          <w:szCs w:val="18"/>
          <w:highlight w:val="none"/>
          <w:u w:val="single"/>
          <w:lang w:val="en-US" w:eastAsia="zh-CN"/>
        </w:rPr>
        <w:t>拓客</w:t>
      </w:r>
      <w:r>
        <w:rPr>
          <w:rFonts w:hint="eastAsia" w:ascii="宋体" w:hAnsi="宋体" w:eastAsia="宋体" w:cs="宋体"/>
          <w:sz w:val="18"/>
          <w:szCs w:val="18"/>
          <w:highlight w:val="none"/>
          <w:u w:val="single"/>
          <w:lang w:val="en-US" w:eastAsia="zh-CN"/>
        </w:rPr>
        <w:t>礼品采购</w:t>
      </w:r>
      <w:r>
        <w:rPr>
          <w:rFonts w:hint="eastAsia" w:ascii="宋体" w:hAnsi="宋体" w:eastAsia="宋体" w:cs="宋体"/>
          <w:sz w:val="18"/>
          <w:szCs w:val="18"/>
          <w:highlight w:val="none"/>
          <w:u w:val="single"/>
        </w:rPr>
        <w:t xml:space="preserve">  </w:t>
      </w:r>
    </w:p>
    <w:p w14:paraId="1EC8B13A">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1.2 采 购 人：</w:t>
      </w:r>
      <w:r>
        <w:rPr>
          <w:rFonts w:hint="eastAsia" w:ascii="宋体" w:hAnsi="宋体" w:eastAsia="宋体" w:cs="宋体"/>
          <w:sz w:val="18"/>
          <w:szCs w:val="18"/>
          <w:highlight w:val="none"/>
          <w:u w:val="single"/>
        </w:rPr>
        <w:t xml:space="preserve"> 上海迈信房地产开发有限公司 </w:t>
      </w:r>
    </w:p>
    <w:p w14:paraId="1FF9D7EF">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1.3 项目概况：</w:t>
      </w:r>
      <w:r>
        <w:rPr>
          <w:rFonts w:hint="eastAsia" w:ascii="宋体" w:hAnsi="宋体" w:eastAsia="宋体" w:cs="宋体"/>
          <w:sz w:val="18"/>
          <w:szCs w:val="18"/>
          <w:highlight w:val="none"/>
          <w:u w:val="single"/>
        </w:rPr>
        <w:t xml:space="preserve"> 青浦区华新镇安联明悦邸项目位于上海市青浦区华新镇，本项目为商品住宅开发项目，总建筑面积约12.5万平方米。本次采购项目为青浦区华新镇安联明悦邸（安联·虹悦）2025年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 xml:space="preserve">礼品采购 </w:t>
      </w:r>
    </w:p>
    <w:p w14:paraId="41BB461F">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10" w:name="_Toc23266_WPSOffice_Level2"/>
      <w:bookmarkStart w:id="11" w:name="_Toc18453"/>
      <w:bookmarkStart w:id="12" w:name="_Toc10274"/>
      <w:bookmarkStart w:id="13" w:name="_Toc18367_WPSOffice_Level2"/>
      <w:bookmarkStart w:id="14" w:name="_Toc8128_WPSOffice_Level2"/>
      <w:bookmarkStart w:id="15" w:name="_Toc525632586"/>
      <w:bookmarkStart w:id="16" w:name="_Toc17858_WPSOffice_Level2"/>
      <w:r>
        <w:rPr>
          <w:rFonts w:hint="eastAsia" w:ascii="宋体" w:hAnsi="宋体" w:eastAsia="宋体" w:cs="宋体"/>
          <w:bCs w:val="0"/>
          <w:sz w:val="18"/>
          <w:szCs w:val="18"/>
          <w:highlight w:val="none"/>
        </w:rPr>
        <w:t>采购说明</w:t>
      </w:r>
      <w:bookmarkEnd w:id="10"/>
      <w:bookmarkEnd w:id="11"/>
      <w:bookmarkEnd w:id="12"/>
      <w:bookmarkEnd w:id="13"/>
      <w:bookmarkEnd w:id="14"/>
      <w:bookmarkEnd w:id="15"/>
      <w:bookmarkEnd w:id="16"/>
    </w:p>
    <w:p w14:paraId="556DFC4C">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u w:val="single"/>
          <w:lang w:val="en-US" w:eastAsia="zh-CN"/>
        </w:rPr>
      </w:pPr>
      <w:bookmarkStart w:id="17" w:name="_Toc4489_WPSOffice_Level3"/>
      <w:r>
        <w:rPr>
          <w:rFonts w:hint="eastAsia" w:ascii="宋体" w:hAnsi="宋体" w:eastAsia="宋体" w:cs="宋体"/>
          <w:sz w:val="18"/>
          <w:szCs w:val="18"/>
          <w:highlight w:val="none"/>
        </w:rPr>
        <w:t>2.1 采购方式：</w:t>
      </w:r>
      <w:bookmarkEnd w:id="17"/>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公开询比采购</w:t>
      </w:r>
      <w:r>
        <w:rPr>
          <w:rFonts w:hint="eastAsia" w:ascii="宋体" w:hAnsi="宋体" w:eastAsia="宋体" w:cs="宋体"/>
          <w:sz w:val="18"/>
          <w:szCs w:val="18"/>
          <w:highlight w:val="none"/>
          <w:u w:val="single"/>
          <w:lang w:val="en-US" w:eastAsia="zh-CN"/>
        </w:rPr>
        <w:t xml:space="preserve">  </w:t>
      </w:r>
    </w:p>
    <w:p w14:paraId="78239AF3">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u w:val="single"/>
          <w:lang w:val="en-US" w:eastAsia="zh-CN"/>
        </w:rPr>
      </w:pPr>
      <w:bookmarkStart w:id="18" w:name="_Toc23266_WPSOffice_Level3"/>
      <w:r>
        <w:rPr>
          <w:rFonts w:hint="eastAsia" w:ascii="宋体" w:hAnsi="宋体" w:eastAsia="宋体" w:cs="宋体"/>
          <w:sz w:val="18"/>
          <w:szCs w:val="18"/>
          <w:highlight w:val="none"/>
        </w:rPr>
        <w:t>2.2 资金来源及比例：</w:t>
      </w:r>
      <w:bookmarkEnd w:id="18"/>
      <w:bookmarkStart w:id="19" w:name="_Toc22379_WPSOffice_Level3"/>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100%来自企业自筹</w:t>
      </w:r>
      <w:r>
        <w:rPr>
          <w:rFonts w:hint="eastAsia" w:ascii="宋体" w:hAnsi="宋体" w:eastAsia="宋体" w:cs="宋体"/>
          <w:sz w:val="18"/>
          <w:szCs w:val="18"/>
          <w:highlight w:val="none"/>
          <w:u w:val="single"/>
          <w:lang w:val="en-US" w:eastAsia="zh-CN"/>
        </w:rPr>
        <w:t xml:space="preserve">  </w:t>
      </w:r>
    </w:p>
    <w:p w14:paraId="3C923724">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2.3 采购范围：</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礼品采购</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详细内容见合同货物采购内容</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 xml:space="preserve"> </w:t>
      </w:r>
    </w:p>
    <w:p w14:paraId="7E97E9F5">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 xml:space="preserve"> 最高限价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含税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w:t>
      </w:r>
      <w:bookmarkEnd w:id="19"/>
      <w:r>
        <w:rPr>
          <w:rFonts w:hint="eastAsia" w:ascii="宋体" w:hAnsi="宋体" w:eastAsia="宋体" w:cs="宋体"/>
          <w:sz w:val="18"/>
          <w:szCs w:val="18"/>
          <w:highlight w:val="none"/>
          <w:u w:val="single"/>
        </w:rPr>
        <w:t xml:space="preserve"> 【含税】</w:t>
      </w:r>
      <w:r>
        <w:rPr>
          <w:rFonts w:hint="eastAsia" w:ascii="宋体" w:hAnsi="宋体" w:eastAsia="宋体" w:cs="宋体"/>
          <w:sz w:val="18"/>
          <w:szCs w:val="18"/>
          <w:highlight w:val="none"/>
          <w:u w:val="single"/>
          <w:lang w:val="en-US" w:eastAsia="zh-CN"/>
        </w:rPr>
        <w:t>27.54万</w:t>
      </w:r>
      <w:r>
        <w:rPr>
          <w:rFonts w:hint="eastAsia" w:ascii="宋体" w:hAnsi="宋体" w:eastAsia="宋体" w:cs="宋体"/>
          <w:sz w:val="18"/>
          <w:szCs w:val="18"/>
          <w:highlight w:val="none"/>
          <w:u w:val="single"/>
        </w:rPr>
        <w:t>元（大写：</w:t>
      </w:r>
      <w:r>
        <w:rPr>
          <w:rFonts w:hint="eastAsia" w:ascii="宋体" w:hAnsi="宋体" w:eastAsia="宋体" w:cs="宋体"/>
          <w:sz w:val="18"/>
          <w:szCs w:val="18"/>
          <w:highlight w:val="none"/>
          <w:u w:val="single"/>
          <w:lang w:val="en-US" w:eastAsia="zh-CN"/>
        </w:rPr>
        <w:t>贰拾柒万伍仟肆佰</w:t>
      </w:r>
      <w:r>
        <w:rPr>
          <w:rFonts w:hint="eastAsia" w:ascii="宋体" w:hAnsi="宋体" w:eastAsia="宋体" w:cs="宋体"/>
          <w:sz w:val="18"/>
          <w:szCs w:val="18"/>
          <w:highlight w:val="none"/>
          <w:u w:val="single"/>
        </w:rPr>
        <w:t xml:space="preserve">元整）  </w:t>
      </w:r>
    </w:p>
    <w:p w14:paraId="1B503BD6">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计划交货期</w:t>
      </w:r>
      <w:r>
        <w:rPr>
          <w:rFonts w:hint="eastAsia" w:ascii="宋体" w:hAnsi="宋体" w:eastAsia="宋体" w:cs="宋体"/>
          <w:sz w:val="18"/>
          <w:szCs w:val="18"/>
          <w:highlight w:val="none"/>
        </w:rPr>
        <w:t>：</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交货期暂定为</w:t>
      </w:r>
      <w:r>
        <w:rPr>
          <w:rFonts w:hint="eastAsia" w:ascii="宋体" w:hAnsi="宋体" w:eastAsia="宋体" w:cs="宋体"/>
          <w:sz w:val="18"/>
          <w:szCs w:val="18"/>
          <w:highlight w:val="none"/>
          <w:u w:val="single"/>
        </w:rPr>
        <w:t>自合同签订之日起至202</w:t>
      </w:r>
      <w:r>
        <w:rPr>
          <w:rFonts w:hint="eastAsia" w:ascii="宋体" w:hAnsi="宋体" w:cs="宋体"/>
          <w:sz w:val="18"/>
          <w:szCs w:val="18"/>
          <w:highlight w:val="none"/>
          <w:u w:val="single"/>
          <w:lang w:val="en-US" w:eastAsia="zh-CN"/>
        </w:rPr>
        <w:t>6</w:t>
      </w:r>
      <w:r>
        <w:rPr>
          <w:rFonts w:hint="eastAsia" w:ascii="宋体" w:hAnsi="宋体" w:eastAsia="宋体" w:cs="宋体"/>
          <w:sz w:val="18"/>
          <w:szCs w:val="18"/>
          <w:highlight w:val="none"/>
          <w:u w:val="single"/>
        </w:rPr>
        <w:t>年</w:t>
      </w:r>
      <w:r>
        <w:rPr>
          <w:rFonts w:hint="eastAsia" w:ascii="宋体" w:hAnsi="宋体" w:cs="宋体"/>
          <w:sz w:val="18"/>
          <w:szCs w:val="18"/>
          <w:highlight w:val="none"/>
          <w:u w:val="single"/>
          <w:lang w:val="en-US" w:eastAsia="zh-CN"/>
        </w:rPr>
        <w:t>3</w:t>
      </w:r>
      <w:r>
        <w:rPr>
          <w:rFonts w:hint="eastAsia" w:ascii="宋体" w:hAnsi="宋体" w:eastAsia="宋体" w:cs="宋体"/>
          <w:sz w:val="18"/>
          <w:szCs w:val="18"/>
          <w:highlight w:val="none"/>
          <w:u w:val="single"/>
        </w:rPr>
        <w:t>月3</w:t>
      </w:r>
      <w:r>
        <w:rPr>
          <w:rFonts w:hint="eastAsia" w:ascii="宋体" w:hAnsi="宋体" w:cs="宋体"/>
          <w:sz w:val="18"/>
          <w:szCs w:val="18"/>
          <w:highlight w:val="none"/>
          <w:u w:val="single"/>
          <w:lang w:val="en-US" w:eastAsia="zh-CN"/>
        </w:rPr>
        <w:t>1</w:t>
      </w:r>
      <w:r>
        <w:rPr>
          <w:rFonts w:hint="eastAsia" w:ascii="宋体" w:hAnsi="宋体" w:eastAsia="宋体" w:cs="宋体"/>
          <w:sz w:val="18"/>
          <w:szCs w:val="18"/>
          <w:highlight w:val="none"/>
          <w:u w:val="single"/>
        </w:rPr>
        <w:t>日期间。采购方有权对2025年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礼品采购时间进行调整，2025年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 xml:space="preserve">礼品采购时间以采购人书面通知确认延后的时间为准，服务内容不变。由此产生的费用均已包含在含税单价及含税总价中，且甲方不须因此而向乙方承担包括但不限于违约赔偿补偿等任何责任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lang w:val="en-US" w:eastAsia="zh-CN"/>
        </w:rPr>
        <w:t>。</w:t>
      </w:r>
    </w:p>
    <w:p w14:paraId="7B5A9255">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20" w:name="_Toc6388"/>
      <w:bookmarkStart w:id="21" w:name="_Toc22379_WPSOffice_Level2"/>
      <w:bookmarkStart w:id="22" w:name="_Toc31673_WPSOffice_Level2"/>
      <w:bookmarkStart w:id="23" w:name="_Toc525632587"/>
      <w:bookmarkStart w:id="24" w:name="_Toc29516_WPSOffice_Level2"/>
      <w:bookmarkStart w:id="25" w:name="_Toc3714"/>
      <w:bookmarkStart w:id="26" w:name="_Toc1622_WPSOffice_Level2"/>
      <w:r>
        <w:rPr>
          <w:rFonts w:hint="eastAsia" w:ascii="宋体" w:hAnsi="宋体" w:eastAsia="宋体" w:cs="宋体"/>
          <w:bCs w:val="0"/>
          <w:sz w:val="18"/>
          <w:szCs w:val="18"/>
          <w:highlight w:val="none"/>
        </w:rPr>
        <w:t>供应商资格条件</w:t>
      </w:r>
      <w:bookmarkEnd w:id="20"/>
      <w:bookmarkEnd w:id="21"/>
      <w:bookmarkEnd w:id="22"/>
      <w:bookmarkEnd w:id="23"/>
      <w:bookmarkEnd w:id="24"/>
      <w:bookmarkEnd w:id="25"/>
      <w:bookmarkEnd w:id="26"/>
    </w:p>
    <w:p w14:paraId="4B3CE52E">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 本次采购要求供应商须同时具备：</w:t>
      </w:r>
    </w:p>
    <w:p w14:paraId="75F4FEE5">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（1）资质最低要求：持有有效的营业执照，营业执照的经营范围需包含：</w:t>
      </w:r>
      <w:r>
        <w:rPr>
          <w:rFonts w:hint="eastAsia" w:ascii="宋体" w:hAnsi="宋体" w:cs="宋体"/>
          <w:sz w:val="18"/>
          <w:szCs w:val="18"/>
          <w:highlight w:val="none"/>
          <w:u w:val="single"/>
          <w:lang w:val="en-US" w:eastAsia="zh-CN"/>
        </w:rPr>
        <w:t xml:space="preserve"> </w:t>
      </w:r>
      <w:r>
        <w:rPr>
          <w:rFonts w:hint="eastAsia" w:ascii="宋体" w:hAnsi="宋体" w:eastAsia="宋体" w:cs="宋体"/>
          <w:sz w:val="18"/>
          <w:szCs w:val="18"/>
          <w:highlight w:val="none"/>
          <w:u w:val="single"/>
          <w:lang w:val="en-US" w:eastAsia="zh-CN"/>
        </w:rPr>
        <w:t>百货、日用品、日用百货销售</w:t>
      </w:r>
      <w:r>
        <w:rPr>
          <w:rFonts w:hint="eastAsia" w:ascii="宋体" w:hAnsi="宋体" w:eastAsia="宋体" w:cs="宋体"/>
          <w:sz w:val="18"/>
          <w:szCs w:val="18"/>
          <w:highlight w:val="none"/>
          <w:u w:val="single"/>
        </w:rPr>
        <w:t xml:space="preserve"> 或 </w:t>
      </w:r>
      <w:r>
        <w:rPr>
          <w:rFonts w:hint="eastAsia" w:ascii="宋体" w:hAnsi="宋体" w:eastAsia="宋体" w:cs="宋体"/>
          <w:sz w:val="18"/>
          <w:szCs w:val="18"/>
          <w:highlight w:val="none"/>
          <w:u w:val="single"/>
          <w:lang w:val="en-US" w:eastAsia="zh-CN"/>
        </w:rPr>
        <w:t>家用电器销售</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或 工艺礼品</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等内容。</w:t>
      </w:r>
    </w:p>
    <w:p w14:paraId="36CF3BA6">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（2）业绩最低要求：近</w:t>
      </w:r>
      <w:r>
        <w:rPr>
          <w:rFonts w:hint="eastAsia" w:ascii="宋体" w:hAnsi="宋体" w:eastAsia="宋体" w:cs="宋体"/>
          <w:sz w:val="18"/>
          <w:szCs w:val="18"/>
          <w:highlight w:val="none"/>
          <w:u w:val="single"/>
        </w:rPr>
        <w:t xml:space="preserve"> 2 </w:t>
      </w:r>
      <w:r>
        <w:rPr>
          <w:rFonts w:hint="eastAsia" w:ascii="宋体" w:hAnsi="宋体" w:eastAsia="宋体" w:cs="宋体"/>
          <w:sz w:val="18"/>
          <w:szCs w:val="18"/>
          <w:highlight w:val="none"/>
        </w:rPr>
        <w:t>年（指</w:t>
      </w:r>
      <w:r>
        <w:rPr>
          <w:rFonts w:hint="eastAsia" w:ascii="宋体" w:hAnsi="宋体" w:eastAsia="宋体" w:cs="宋体"/>
          <w:sz w:val="18"/>
          <w:szCs w:val="18"/>
          <w:highlight w:val="none"/>
          <w:u w:val="single"/>
        </w:rPr>
        <w:t xml:space="preserve"> 202</w:t>
      </w:r>
      <w:r>
        <w:rPr>
          <w:rFonts w:hint="eastAsia" w:ascii="宋体" w:hAnsi="宋体" w:eastAsia="宋体" w:cs="宋体"/>
          <w:sz w:val="18"/>
          <w:szCs w:val="18"/>
          <w:highlight w:val="none"/>
          <w:u w:val="single"/>
          <w:lang w:val="en-US" w:eastAsia="zh-CN"/>
        </w:rPr>
        <w:t>3</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7</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1 </w:t>
      </w:r>
      <w:r>
        <w:rPr>
          <w:rFonts w:hint="eastAsia" w:ascii="宋体" w:hAnsi="宋体" w:eastAsia="宋体" w:cs="宋体"/>
          <w:sz w:val="18"/>
          <w:szCs w:val="18"/>
          <w:highlight w:val="none"/>
        </w:rPr>
        <w:t>日至响应文件递交截止日期，以合同签订时间为准，具备</w:t>
      </w:r>
      <w:r>
        <w:rPr>
          <w:rFonts w:hint="eastAsia" w:ascii="宋体" w:hAnsi="宋体" w:eastAsia="宋体" w:cs="宋体"/>
          <w:sz w:val="18"/>
          <w:szCs w:val="18"/>
          <w:highlight w:val="none"/>
          <w:u w:val="single"/>
        </w:rPr>
        <w:t xml:space="preserve"> 房地产礼品</w:t>
      </w:r>
      <w:r>
        <w:rPr>
          <w:rFonts w:hint="eastAsia" w:ascii="宋体" w:hAnsi="宋体" w:eastAsia="宋体" w:cs="宋体"/>
          <w:sz w:val="18"/>
          <w:szCs w:val="18"/>
          <w:highlight w:val="none"/>
          <w:u w:val="single"/>
          <w:lang w:val="en-US" w:eastAsia="zh-CN"/>
        </w:rPr>
        <w:t>采购</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业绩</w:t>
      </w:r>
    </w:p>
    <w:p w14:paraId="3FB324E1">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（3）信誉要求最低要求：</w:t>
      </w:r>
    </w:p>
    <w:p w14:paraId="7D131B14">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①未被责令停业，暂扣或吊销执照，或吊销资质证书；</w:t>
      </w:r>
    </w:p>
    <w:p w14:paraId="5DEB3171">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②未进入清算程序，或被宣告破产，或其他丧失履约能力的情形；</w:t>
      </w:r>
    </w:p>
    <w:p w14:paraId="6F289991">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③在国家企业信用信息公示系统（http://www.gsxt.gov.cn）中未被列入严重违法失信企业名单；</w:t>
      </w:r>
    </w:p>
    <w:p w14:paraId="632A1130">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④在中国执行信息公开网（http://zxgk.court.gov.cn）中未被列入失信被执行人名单；</w:t>
      </w:r>
    </w:p>
    <w:p w14:paraId="6E349B28">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⑤在近三年内（自响应文件递交截止之日向前追溯3年）供应商或其法定代表人、拟委任的项目负责人未有行贿犯罪行为；</w:t>
      </w:r>
    </w:p>
    <w:p w14:paraId="52F9EF49">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⑥其他要求：  /  。</w:t>
      </w:r>
    </w:p>
    <w:p w14:paraId="0F489EE8">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 联合体：本次采购不接受联合体报价。</w:t>
      </w:r>
    </w:p>
    <w:p w14:paraId="2707DF89">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3.3 </w:t>
      </w:r>
      <w:r>
        <w:rPr>
          <w:rFonts w:hint="eastAsia" w:ascii="宋体" w:hAnsi="宋体" w:eastAsia="宋体" w:cs="宋体"/>
          <w:color w:val="auto"/>
          <w:sz w:val="18"/>
          <w:szCs w:val="18"/>
          <w:highlight w:val="none"/>
        </w:rPr>
        <w:t>单位负责人为同一人或者存在关联关系的不同单位，不得同时参加项目报价，违反规定的，相关响应文件均无效，以国家企业信息公示系统http://www.gsxt.gov.cn/index.html查询为准。关联关系定义：是指公司控股股东、实际控制人、董事、监事、高级管理人员与其直接或者间接控制的企业之间的关系，以及可能导致公司利益转移的其他关系。</w:t>
      </w:r>
    </w:p>
    <w:p w14:paraId="3BA8F620">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27" w:name="_Toc4109_WPSOffice_Level2"/>
      <w:bookmarkStart w:id="28" w:name="_Toc2996_WPSOffice_Level2"/>
      <w:bookmarkStart w:id="29" w:name="_Toc25666_WPSOffice_Level2"/>
      <w:bookmarkStart w:id="30" w:name="_Toc29452_WPSOffice_Level2"/>
      <w:bookmarkStart w:id="31" w:name="_Toc1994"/>
      <w:bookmarkStart w:id="32" w:name="_Toc525632588"/>
      <w:bookmarkStart w:id="33" w:name="_Toc4751"/>
      <w:r>
        <w:rPr>
          <w:rFonts w:hint="eastAsia" w:ascii="宋体" w:hAnsi="宋体" w:eastAsia="宋体" w:cs="宋体"/>
          <w:bCs w:val="0"/>
          <w:sz w:val="18"/>
          <w:szCs w:val="18"/>
          <w:highlight w:val="none"/>
        </w:rPr>
        <w:t>询比文件的获取</w:t>
      </w:r>
      <w:bookmarkEnd w:id="27"/>
      <w:bookmarkEnd w:id="28"/>
      <w:bookmarkEnd w:id="29"/>
      <w:bookmarkEnd w:id="30"/>
      <w:bookmarkEnd w:id="31"/>
      <w:bookmarkEnd w:id="32"/>
      <w:bookmarkEnd w:id="33"/>
    </w:p>
    <w:p w14:paraId="7D7EE832">
      <w:pPr>
        <w:pageBreakBefore w:val="0"/>
        <w:widowControl w:val="0"/>
        <w:kinsoku/>
        <w:wordWrap/>
        <w:overflowPunct/>
        <w:topLinePunct w:val="0"/>
        <w:bidi w:val="0"/>
        <w:adjustRightInd/>
        <w:snapToGrid w:val="0"/>
        <w:spacing w:line="360" w:lineRule="exact"/>
        <w:ind w:firstLine="315" w:firstLineChars="175"/>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供应商应在递交响应文件的截止时间前登录</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安徽安联高速公路有限公司官方网站</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rPr>
        <w:t>，选择所参加的项目，自行下载询比文件及相关资料。</w:t>
      </w:r>
    </w:p>
    <w:p w14:paraId="36EFB58F">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34" w:name="_Toc525632589"/>
      <w:bookmarkStart w:id="35" w:name="_Toc726"/>
      <w:r>
        <w:rPr>
          <w:rFonts w:hint="eastAsia" w:ascii="宋体" w:hAnsi="宋体" w:eastAsia="宋体" w:cs="宋体"/>
          <w:bCs w:val="0"/>
          <w:sz w:val="18"/>
          <w:szCs w:val="18"/>
          <w:highlight w:val="none"/>
        </w:rPr>
        <w:t>响应文件的递交</w:t>
      </w:r>
      <w:bookmarkEnd w:id="34"/>
      <w:bookmarkEnd w:id="35"/>
      <w:bookmarkStart w:id="248" w:name="_GoBack"/>
    </w:p>
    <w:p w14:paraId="2BA56ABE">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响应文件递交的截止时间为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2025</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11</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5</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11</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时</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00</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分，供应商的法定代表人或其授权代理人应于</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2025</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11</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5</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9</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时</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00</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分至</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2025</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11</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5</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11</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时</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00</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分</w:t>
      </w:r>
      <w:bookmarkEnd w:id="248"/>
      <w:r>
        <w:rPr>
          <w:rFonts w:hint="eastAsia" w:ascii="宋体" w:hAnsi="宋体" w:eastAsia="宋体" w:cs="宋体"/>
          <w:sz w:val="18"/>
          <w:szCs w:val="18"/>
          <w:highlight w:val="none"/>
        </w:rPr>
        <w:t>（递交的截止时间）将响应文件递交至</w:t>
      </w:r>
      <w:r>
        <w:rPr>
          <w:rFonts w:hint="eastAsia" w:ascii="宋体" w:hAnsi="宋体" w:eastAsia="宋体" w:cs="宋体"/>
          <w:sz w:val="18"/>
          <w:szCs w:val="18"/>
          <w:highlight w:val="none"/>
          <w:u w:val="single"/>
        </w:rPr>
        <w:t xml:space="preserve"> 青浦清河湾路1635弄葛洲坝虹桥玉兰国际（葛洲坝商务广场）6号楼2楼 </w:t>
      </w:r>
      <w:r>
        <w:rPr>
          <w:rFonts w:hint="eastAsia" w:ascii="宋体" w:hAnsi="宋体" w:eastAsia="宋体" w:cs="宋体"/>
          <w:sz w:val="18"/>
          <w:szCs w:val="18"/>
          <w:highlight w:val="none"/>
        </w:rPr>
        <w:t>。</w:t>
      </w:r>
    </w:p>
    <w:p w14:paraId="42ABBCD0">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36" w:name="_Toc22719"/>
      <w:bookmarkStart w:id="37" w:name="_Toc525632591"/>
      <w:r>
        <w:rPr>
          <w:rFonts w:hint="eastAsia" w:ascii="宋体" w:hAnsi="宋体" w:eastAsia="宋体" w:cs="宋体"/>
          <w:bCs w:val="0"/>
          <w:sz w:val="18"/>
          <w:szCs w:val="18"/>
          <w:highlight w:val="none"/>
        </w:rPr>
        <w:t>响应文件启封</w:t>
      </w:r>
    </w:p>
    <w:p w14:paraId="35055321">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采购人将于响应文件的递交截止时间的同一时间，</w:t>
      </w:r>
      <w:r>
        <w:rPr>
          <w:rFonts w:hint="eastAsia" w:ascii="宋体" w:hAnsi="宋体" w:eastAsia="宋体" w:cs="宋体"/>
          <w:sz w:val="18"/>
          <w:szCs w:val="18"/>
          <w:highlight w:val="none"/>
        </w:rPr>
        <w:t>于</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青浦清河湾路1635弄葛洲坝虹桥玉兰国际（葛洲坝商务广场）6号楼2楼</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rPr>
        <w:t>组织进行响应文件的启封。供应商的法定代表人或授权代理人应携带本人身份证、授权代理人应携带授权委托书准时参加启封会议。</w:t>
      </w:r>
    </w:p>
    <w:p w14:paraId="1AB0C085">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r>
        <w:rPr>
          <w:rFonts w:hint="eastAsia" w:ascii="宋体" w:hAnsi="宋体" w:eastAsia="宋体" w:cs="宋体"/>
          <w:bCs w:val="0"/>
          <w:sz w:val="18"/>
          <w:szCs w:val="18"/>
          <w:highlight w:val="none"/>
        </w:rPr>
        <w:t>响应保证金</w:t>
      </w:r>
    </w:p>
    <w:p w14:paraId="70F9F076">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响应保证金的金额：</w:t>
      </w:r>
      <w:r>
        <w:rPr>
          <w:rFonts w:hint="eastAsia" w:ascii="宋体" w:hAnsi="宋体" w:eastAsia="宋体" w:cs="宋体"/>
          <w:sz w:val="18"/>
          <w:szCs w:val="18"/>
          <w:highlight w:val="none"/>
          <w:u w:val="single"/>
          <w:lang w:val="en-US" w:eastAsia="zh-CN"/>
        </w:rPr>
        <w:t xml:space="preserve">  /  </w:t>
      </w:r>
    </w:p>
    <w:p w14:paraId="63F57D28">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响应保证金的递交形式：</w:t>
      </w:r>
      <w:r>
        <w:rPr>
          <w:rFonts w:hint="eastAsia" w:ascii="宋体" w:hAnsi="宋体" w:eastAsia="宋体" w:cs="宋体"/>
          <w:sz w:val="18"/>
          <w:szCs w:val="18"/>
          <w:highlight w:val="none"/>
          <w:u w:val="single"/>
          <w:lang w:val="en-US" w:eastAsia="zh-CN"/>
        </w:rPr>
        <w:t xml:space="preserve">  /  </w:t>
      </w:r>
    </w:p>
    <w:p w14:paraId="49900F9C">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u w:val="single"/>
          <w:lang w:val="en-US" w:eastAsia="zh-CN"/>
        </w:rPr>
      </w:pPr>
      <w:r>
        <w:rPr>
          <w:rFonts w:hint="eastAsia" w:ascii="宋体" w:hAnsi="宋体" w:eastAsia="宋体" w:cs="宋体"/>
          <w:sz w:val="18"/>
          <w:szCs w:val="18"/>
          <w:highlight w:val="none"/>
        </w:rPr>
        <w:t>递交账号：</w:t>
      </w:r>
      <w:r>
        <w:rPr>
          <w:rFonts w:hint="eastAsia" w:ascii="宋体" w:hAnsi="宋体" w:eastAsia="宋体" w:cs="宋体"/>
          <w:sz w:val="18"/>
          <w:szCs w:val="18"/>
          <w:highlight w:val="none"/>
          <w:u w:val="single"/>
          <w:lang w:val="en-US" w:eastAsia="zh-CN"/>
        </w:rPr>
        <w:t xml:space="preserve">  /  </w:t>
      </w:r>
    </w:p>
    <w:p w14:paraId="4E6F33AA">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递交截止时间：</w:t>
      </w:r>
      <w:r>
        <w:rPr>
          <w:rFonts w:hint="eastAsia" w:ascii="宋体" w:hAnsi="宋体" w:eastAsia="宋体" w:cs="宋体"/>
          <w:sz w:val="18"/>
          <w:szCs w:val="18"/>
          <w:highlight w:val="none"/>
          <w:u w:val="single"/>
          <w:lang w:val="en-US" w:eastAsia="zh-CN"/>
        </w:rPr>
        <w:t xml:space="preserve">  /  </w:t>
      </w:r>
    </w:p>
    <w:p w14:paraId="51E6FF83">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供应商完成转账的银行账户名称应与供应商的单位名称一致。</w:t>
      </w:r>
      <w:r>
        <w:rPr>
          <w:rFonts w:hint="eastAsia" w:ascii="宋体" w:hAnsi="宋体" w:eastAsia="宋体" w:cs="宋体"/>
          <w:sz w:val="18"/>
          <w:szCs w:val="18"/>
          <w:highlight w:val="none"/>
          <w:lang w:val="en-US" w:eastAsia="zh-CN"/>
        </w:rPr>
        <w:t>采用银行保函时，应由供应商开立基本账户的银行开具。</w:t>
      </w:r>
    </w:p>
    <w:p w14:paraId="112A3ECA">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r>
        <w:rPr>
          <w:rFonts w:hint="eastAsia" w:ascii="宋体" w:hAnsi="宋体" w:eastAsia="宋体" w:cs="宋体"/>
          <w:bCs w:val="0"/>
          <w:sz w:val="18"/>
          <w:szCs w:val="18"/>
          <w:highlight w:val="none"/>
        </w:rPr>
        <w:t>发布公告的媒介</w:t>
      </w:r>
      <w:bookmarkEnd w:id="36"/>
      <w:bookmarkEnd w:id="37"/>
    </w:p>
    <w:p w14:paraId="298C2686">
      <w:pPr>
        <w:pageBreakBefore w:val="0"/>
        <w:widowControl w:val="0"/>
        <w:kinsoku/>
        <w:wordWrap/>
        <w:overflowPunct/>
        <w:topLinePunct w:val="0"/>
        <w:bidi w:val="0"/>
        <w:adjustRightInd/>
        <w:snapToGrid w:val="0"/>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本次采购公告在</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安徽安联高速公路有限公司网站 </w:t>
      </w:r>
      <w:r>
        <w:rPr>
          <w:rFonts w:hint="eastAsia" w:ascii="宋体" w:hAnsi="宋体" w:eastAsia="宋体" w:cs="宋体"/>
          <w:sz w:val="18"/>
          <w:szCs w:val="18"/>
          <w:highlight w:val="none"/>
          <w:u w:val="single"/>
        </w:rPr>
        <w:t>（网址</w:t>
      </w:r>
      <w:r>
        <w:rPr>
          <w:rFonts w:hint="eastAsia" w:ascii="宋体" w:hAnsi="宋体" w:eastAsia="宋体" w:cs="宋体"/>
          <w:sz w:val="18"/>
          <w:szCs w:val="18"/>
          <w:highlight w:val="none"/>
          <w:u w:val="single"/>
          <w:lang w:eastAsia="zh-CN"/>
        </w:rPr>
        <w:t>：http://www.ahanlian.com/</w:t>
      </w:r>
      <w:r>
        <w:rPr>
          <w:rFonts w:hint="eastAsia" w:ascii="宋体" w:hAnsi="宋体" w:eastAsia="宋体" w:cs="宋体"/>
          <w:sz w:val="18"/>
          <w:szCs w:val="18"/>
          <w:highlight w:val="none"/>
          <w:u w:val="single"/>
        </w:rPr>
        <w:t>）</w:t>
      </w:r>
      <w:r>
        <w:rPr>
          <w:rFonts w:hint="eastAsia" w:ascii="宋体" w:hAnsi="宋体" w:eastAsia="宋体" w:cs="宋体"/>
          <w:sz w:val="18"/>
          <w:szCs w:val="18"/>
          <w:highlight w:val="none"/>
        </w:rPr>
        <w:t>上发布。</w:t>
      </w:r>
    </w:p>
    <w:p w14:paraId="1E3FDBF9">
      <w:pPr>
        <w:pStyle w:val="3"/>
        <w:pageBreakBefore w:val="0"/>
        <w:widowControl w:val="0"/>
        <w:kinsoku/>
        <w:wordWrap/>
        <w:overflowPunct/>
        <w:topLinePunct w:val="0"/>
        <w:bidi w:val="0"/>
        <w:adjustRightInd/>
        <w:snapToGrid w:val="0"/>
        <w:spacing w:line="360" w:lineRule="exact"/>
        <w:ind w:firstLine="403"/>
        <w:textAlignment w:val="auto"/>
        <w:rPr>
          <w:rFonts w:hint="eastAsia" w:ascii="宋体" w:hAnsi="宋体" w:eastAsia="宋体" w:cs="宋体"/>
          <w:bCs w:val="0"/>
          <w:sz w:val="18"/>
          <w:szCs w:val="18"/>
          <w:highlight w:val="none"/>
        </w:rPr>
      </w:pPr>
      <w:bookmarkStart w:id="38" w:name="_Toc321_WPSOffice_Level2"/>
      <w:bookmarkStart w:id="39" w:name="_Toc8501"/>
      <w:bookmarkStart w:id="40" w:name="_Toc28571_WPSOffice_Level2"/>
      <w:bookmarkStart w:id="41" w:name="_Toc14943_WPSOffice_Level2"/>
      <w:bookmarkStart w:id="42" w:name="_Toc525632592"/>
      <w:bookmarkStart w:id="43" w:name="_Toc20572_WPSOffice_Level2"/>
      <w:bookmarkStart w:id="44" w:name="_Toc26829"/>
      <w:r>
        <w:rPr>
          <w:rFonts w:hint="eastAsia" w:ascii="宋体" w:hAnsi="宋体" w:eastAsia="宋体" w:cs="宋体"/>
          <w:bCs w:val="0"/>
          <w:sz w:val="18"/>
          <w:szCs w:val="18"/>
          <w:highlight w:val="none"/>
        </w:rPr>
        <w:t>采购人联系方式</w:t>
      </w:r>
      <w:bookmarkEnd w:id="38"/>
      <w:bookmarkEnd w:id="39"/>
      <w:bookmarkEnd w:id="40"/>
      <w:bookmarkEnd w:id="41"/>
      <w:bookmarkEnd w:id="42"/>
      <w:bookmarkEnd w:id="43"/>
      <w:bookmarkEnd w:id="44"/>
    </w:p>
    <w:p w14:paraId="08CF60A4">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采 购 人：</w:t>
      </w:r>
      <w:r>
        <w:rPr>
          <w:rFonts w:hint="eastAsia" w:ascii="宋体" w:hAnsi="宋体" w:eastAsia="宋体" w:cs="宋体"/>
          <w:sz w:val="18"/>
          <w:szCs w:val="18"/>
          <w:highlight w:val="none"/>
          <w:u w:val="single"/>
        </w:rPr>
        <w:t xml:space="preserve">  上海迈信房地产开发有限公司  </w:t>
      </w:r>
    </w:p>
    <w:p w14:paraId="16BB1633">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地    址：</w:t>
      </w:r>
      <w:r>
        <w:rPr>
          <w:rFonts w:hint="eastAsia" w:ascii="宋体" w:hAnsi="宋体" w:eastAsia="宋体" w:cs="宋体"/>
          <w:sz w:val="18"/>
          <w:szCs w:val="18"/>
          <w:highlight w:val="none"/>
          <w:u w:val="single"/>
        </w:rPr>
        <w:t xml:space="preserve">  青浦清河湾路1635弄葛洲坝虹桥玉兰国际（葛洲坝商务广场）6号楼2楼  </w:t>
      </w:r>
    </w:p>
    <w:p w14:paraId="224F52DC">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邮政编码：</w:t>
      </w:r>
      <w:r>
        <w:rPr>
          <w:rFonts w:hint="eastAsia" w:ascii="宋体" w:hAnsi="宋体" w:eastAsia="宋体" w:cs="宋体"/>
          <w:sz w:val="18"/>
          <w:szCs w:val="18"/>
          <w:highlight w:val="none"/>
          <w:u w:val="single"/>
        </w:rPr>
        <w:t xml:space="preserve">  201799                        </w:t>
      </w:r>
    </w:p>
    <w:p w14:paraId="582A7B77">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 系 人：</w:t>
      </w:r>
      <w:r>
        <w:rPr>
          <w:rFonts w:hint="eastAsia" w:ascii="宋体" w:hAnsi="宋体" w:eastAsia="宋体" w:cs="宋体"/>
          <w:sz w:val="18"/>
          <w:szCs w:val="18"/>
          <w:highlight w:val="none"/>
          <w:u w:val="single"/>
        </w:rPr>
        <w:t xml:space="preserve">  李女士                        </w:t>
      </w:r>
    </w:p>
    <w:p w14:paraId="70CF7140">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电    话：</w:t>
      </w:r>
      <w:r>
        <w:rPr>
          <w:rFonts w:hint="eastAsia" w:ascii="宋体" w:hAnsi="宋体" w:eastAsia="宋体" w:cs="宋体"/>
          <w:sz w:val="18"/>
          <w:szCs w:val="18"/>
          <w:highlight w:val="none"/>
          <w:u w:val="single"/>
        </w:rPr>
        <w:t xml:space="preserve">  158-0065-8800                 </w:t>
      </w:r>
    </w:p>
    <w:p w14:paraId="6138891A">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电子邮箱：</w:t>
      </w:r>
      <w:r>
        <w:rPr>
          <w:rFonts w:hint="eastAsia" w:ascii="宋体" w:hAnsi="宋体" w:eastAsia="宋体" w:cs="宋体"/>
          <w:sz w:val="18"/>
          <w:szCs w:val="18"/>
          <w:highlight w:val="none"/>
          <w:u w:val="single"/>
        </w:rPr>
        <w:t xml:space="preserve">  lavender_yuki@126.com         </w:t>
      </w:r>
    </w:p>
    <w:p w14:paraId="439C5455">
      <w:pPr>
        <w:pageBreakBefore w:val="0"/>
        <w:widowControl w:val="0"/>
        <w:kinsoku/>
        <w:wordWrap/>
        <w:overflowPunct/>
        <w:topLinePunct w:val="0"/>
        <w:bidi w:val="0"/>
        <w:adjustRightInd/>
        <w:spacing w:line="360" w:lineRule="exact"/>
        <w:ind w:firstLine="360" w:firstLineChars="200"/>
        <w:textAlignment w:val="auto"/>
        <w:rPr>
          <w:rFonts w:hint="eastAsia" w:ascii="宋体" w:hAnsi="宋体" w:eastAsia="宋体" w:cs="宋体"/>
          <w:sz w:val="18"/>
          <w:szCs w:val="18"/>
          <w:highlight w:val="none"/>
        </w:rPr>
      </w:pPr>
    </w:p>
    <w:p w14:paraId="1728871F">
      <w:pPr>
        <w:pStyle w:val="27"/>
        <w:pageBreakBefore w:val="0"/>
        <w:widowControl w:val="0"/>
        <w:kinsoku/>
        <w:wordWrap/>
        <w:overflowPunct/>
        <w:topLinePunct w:val="0"/>
        <w:bidi w:val="0"/>
        <w:adjustRightInd/>
        <w:spacing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14:paraId="3342533A">
      <w:pPr>
        <w:pStyle w:val="27"/>
        <w:pageBreakBefore w:val="0"/>
        <w:widowControl w:val="0"/>
        <w:kinsoku/>
        <w:wordWrap/>
        <w:overflowPunct/>
        <w:topLinePunct w:val="0"/>
        <w:bidi w:val="0"/>
        <w:adjustRightInd/>
        <w:spacing w:line="360" w:lineRule="exact"/>
        <w:jc w:val="right"/>
        <w:textAlignment w:val="auto"/>
        <w:rPr>
          <w:rFonts w:hint="eastAsia" w:ascii="宋体" w:hAnsi="宋体" w:eastAsia="宋体" w:cs="宋体"/>
          <w:color w:val="auto"/>
          <w:sz w:val="18"/>
          <w:szCs w:val="18"/>
          <w:highlight w:val="none"/>
        </w:rPr>
      </w:pPr>
    </w:p>
    <w:p w14:paraId="4DF36D2A">
      <w:pPr>
        <w:pStyle w:val="27"/>
        <w:pageBreakBefore w:val="0"/>
        <w:widowControl w:val="0"/>
        <w:kinsoku/>
        <w:wordWrap/>
        <w:overflowPunct/>
        <w:topLinePunct w:val="0"/>
        <w:bidi w:val="0"/>
        <w:adjustRightInd/>
        <w:spacing w:line="360" w:lineRule="exact"/>
        <w:jc w:val="righ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u w:val="single"/>
          <w:lang w:val="en-US" w:eastAsia="zh-CN"/>
        </w:rPr>
        <w:t xml:space="preserve">  2025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u w:val="single"/>
          <w:lang w:val="en-US" w:eastAsia="zh-CN"/>
        </w:rPr>
        <w:t xml:space="preserve">  10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u w:val="single"/>
          <w:lang w:val="en-US" w:eastAsia="zh-CN"/>
        </w:rPr>
        <w:t xml:space="preserve">  21  </w:t>
      </w:r>
      <w:r>
        <w:rPr>
          <w:rFonts w:hint="eastAsia" w:ascii="宋体" w:hAnsi="宋体" w:eastAsia="宋体" w:cs="宋体"/>
          <w:color w:val="auto"/>
          <w:sz w:val="18"/>
          <w:szCs w:val="18"/>
          <w:highlight w:val="none"/>
        </w:rPr>
        <w:t>日</w:t>
      </w:r>
    </w:p>
    <w:p w14:paraId="3A2FFBC5">
      <w:pPr>
        <w:pStyle w:val="2"/>
        <w:numPr>
          <w:ilvl w:val="0"/>
          <w:numId w:val="0"/>
        </w:numPr>
        <w:spacing w:beforeLines="0" w:afterLines="0"/>
        <w:rPr>
          <w:rFonts w:ascii="Times New Roman" w:hAnsi="Times New Roman" w:eastAsia="宋体" w:cs="Times New Roman"/>
          <w:highlight w:val="none"/>
        </w:rPr>
      </w:pPr>
      <w:r>
        <w:rPr>
          <w:rFonts w:hint="eastAsia" w:ascii="宋体" w:hAnsi="宋体" w:eastAsia="宋体" w:cs="宋体"/>
          <w:sz w:val="18"/>
          <w:szCs w:val="18"/>
          <w:highlight w:val="none"/>
        </w:rPr>
        <w:br w:type="page"/>
      </w:r>
      <w:bookmarkStart w:id="45" w:name="_Toc13339_WPSOffice_Level1"/>
      <w:r>
        <w:rPr>
          <w:rFonts w:hint="eastAsia" w:ascii="Times New Roman" w:hAnsi="Times New Roman" w:eastAsia="宋体" w:cs="Times New Roman"/>
          <w:highlight w:val="none"/>
        </w:rPr>
        <w:t xml:space="preserve">第二章 </w:t>
      </w:r>
      <w:r>
        <w:rPr>
          <w:rFonts w:ascii="Times New Roman" w:hAnsi="Times New Roman" w:eastAsia="宋体" w:cs="Times New Roman"/>
          <w:highlight w:val="none"/>
        </w:rPr>
        <w:t>供应商须知</w:t>
      </w:r>
      <w:bookmarkEnd w:id="45"/>
    </w:p>
    <w:p w14:paraId="2B88D798">
      <w:pPr>
        <w:spacing w:line="440" w:lineRule="exact"/>
        <w:outlineLvl w:val="1"/>
        <w:rPr>
          <w:rFonts w:hint="eastAsia" w:ascii="宋体" w:hAnsi="宋体" w:eastAsia="宋体" w:cs="宋体"/>
          <w:sz w:val="18"/>
          <w:szCs w:val="18"/>
          <w:highlight w:val="none"/>
        </w:rPr>
      </w:pPr>
      <w:bookmarkStart w:id="46" w:name="_Toc19501"/>
      <w:bookmarkStart w:id="47" w:name="_Toc16069"/>
      <w:bookmarkStart w:id="48" w:name="_Toc55466811"/>
      <w:bookmarkStart w:id="49" w:name="_Toc29381_WPSOffice_Level2"/>
      <w:bookmarkStart w:id="50" w:name="_Toc26656928"/>
      <w:r>
        <w:rPr>
          <w:rFonts w:ascii="Times New Roman" w:hAnsi="Times New Roman" w:eastAsia="黑体" w:cs="Times New Roman"/>
          <w:sz w:val="28"/>
          <w:szCs w:val="28"/>
          <w:highlight w:val="none"/>
        </w:rPr>
        <w:t>供应商须知前附表</w:t>
      </w:r>
      <w:bookmarkEnd w:id="46"/>
      <w:bookmarkEnd w:id="47"/>
      <w:bookmarkEnd w:id="48"/>
      <w:bookmarkEnd w:id="49"/>
      <w:bookmarkEnd w:id="50"/>
    </w:p>
    <w:tbl>
      <w:tblPr>
        <w:tblStyle w:val="19"/>
        <w:tblW w:w="8818" w:type="dxa"/>
        <w:tblInd w:w="0" w:type="dxa"/>
        <w:tblLayout w:type="fixed"/>
        <w:tblCellMar>
          <w:top w:w="0" w:type="dxa"/>
          <w:left w:w="108" w:type="dxa"/>
          <w:bottom w:w="0" w:type="dxa"/>
          <w:right w:w="108" w:type="dxa"/>
        </w:tblCellMar>
      </w:tblPr>
      <w:tblGrid>
        <w:gridCol w:w="987"/>
        <w:gridCol w:w="3162"/>
        <w:gridCol w:w="4669"/>
      </w:tblGrid>
      <w:tr w14:paraId="22213356">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1EDC3D5F">
            <w:pPr>
              <w:pageBreakBefore w:val="0"/>
              <w:kinsoku/>
              <w:wordWrap/>
              <w:overflowPunct/>
              <w:topLinePunct w:val="0"/>
              <w:bidi w:val="0"/>
              <w:spacing w:line="360" w:lineRule="exact"/>
              <w:jc w:val="center"/>
              <w:textAlignment w:val="auto"/>
              <w:rPr>
                <w:rFonts w:hint="eastAsia" w:ascii="宋体" w:hAnsi="宋体" w:eastAsia="宋体" w:cs="宋体"/>
                <w:b/>
                <w:sz w:val="18"/>
                <w:szCs w:val="18"/>
                <w:highlight w:val="none"/>
              </w:rPr>
            </w:pPr>
            <w:bookmarkStart w:id="51" w:name="_Toc26656938"/>
            <w:bookmarkStart w:id="52" w:name="_Toc9067720"/>
            <w:bookmarkStart w:id="53" w:name="_Toc14201207"/>
            <w:r>
              <w:rPr>
                <w:rFonts w:hint="eastAsia" w:ascii="宋体" w:hAnsi="宋体" w:eastAsia="宋体" w:cs="宋体"/>
                <w:b/>
                <w:sz w:val="18"/>
                <w:szCs w:val="18"/>
                <w:highlight w:val="none"/>
              </w:rPr>
              <w:t>条款号</w:t>
            </w:r>
          </w:p>
        </w:tc>
        <w:tc>
          <w:tcPr>
            <w:tcW w:w="3162" w:type="dxa"/>
            <w:tcBorders>
              <w:top w:val="single" w:color="auto" w:sz="4" w:space="0"/>
              <w:left w:val="single" w:color="auto" w:sz="4" w:space="0"/>
              <w:bottom w:val="single" w:color="auto" w:sz="4" w:space="0"/>
              <w:right w:val="single" w:color="auto" w:sz="4" w:space="0"/>
            </w:tcBorders>
            <w:vAlign w:val="center"/>
          </w:tcPr>
          <w:p w14:paraId="1000DFC5">
            <w:pPr>
              <w:pageBreakBefore w:val="0"/>
              <w:kinsoku/>
              <w:wordWrap/>
              <w:overflowPunct/>
              <w:topLinePunct w:val="0"/>
              <w:bidi w:val="0"/>
              <w:spacing w:line="36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条  款  名  称</w:t>
            </w:r>
          </w:p>
        </w:tc>
        <w:tc>
          <w:tcPr>
            <w:tcW w:w="4669" w:type="dxa"/>
            <w:tcBorders>
              <w:top w:val="single" w:color="auto" w:sz="4" w:space="0"/>
              <w:left w:val="single" w:color="auto" w:sz="4" w:space="0"/>
              <w:bottom w:val="single" w:color="auto" w:sz="4" w:space="0"/>
              <w:right w:val="single" w:color="auto" w:sz="4" w:space="0"/>
            </w:tcBorders>
            <w:vAlign w:val="center"/>
          </w:tcPr>
          <w:p w14:paraId="0AEA1299">
            <w:pPr>
              <w:pageBreakBefore w:val="0"/>
              <w:kinsoku/>
              <w:wordWrap/>
              <w:overflowPunct/>
              <w:topLinePunct w:val="0"/>
              <w:bidi w:val="0"/>
              <w:spacing w:line="360" w:lineRule="exact"/>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编  列  内  容</w:t>
            </w:r>
          </w:p>
        </w:tc>
      </w:tr>
      <w:tr w14:paraId="6E240DD1">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0591364C">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w:t>
            </w:r>
          </w:p>
        </w:tc>
        <w:tc>
          <w:tcPr>
            <w:tcW w:w="3162" w:type="dxa"/>
            <w:tcBorders>
              <w:top w:val="single" w:color="auto" w:sz="4" w:space="0"/>
              <w:left w:val="single" w:color="auto" w:sz="4" w:space="0"/>
              <w:bottom w:val="single" w:color="auto" w:sz="4" w:space="0"/>
              <w:right w:val="single" w:color="auto" w:sz="4" w:space="0"/>
            </w:tcBorders>
            <w:vAlign w:val="center"/>
          </w:tcPr>
          <w:p w14:paraId="74BB5931">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质量</w:t>
            </w:r>
            <w:r>
              <w:rPr>
                <w:rFonts w:hint="eastAsia" w:ascii="宋体" w:hAnsi="宋体" w:eastAsia="宋体" w:cs="宋体"/>
                <w:sz w:val="18"/>
                <w:szCs w:val="18"/>
                <w:highlight w:val="none"/>
                <w:lang w:val="en-US"/>
              </w:rPr>
              <w:t>要求</w:t>
            </w:r>
          </w:p>
        </w:tc>
        <w:tc>
          <w:tcPr>
            <w:tcW w:w="4669" w:type="dxa"/>
            <w:tcBorders>
              <w:top w:val="single" w:color="auto" w:sz="4" w:space="0"/>
              <w:left w:val="single" w:color="auto" w:sz="4" w:space="0"/>
              <w:bottom w:val="single" w:color="auto" w:sz="4" w:space="0"/>
              <w:right w:val="single" w:color="auto" w:sz="4" w:space="0"/>
            </w:tcBorders>
            <w:vAlign w:val="center"/>
          </w:tcPr>
          <w:p w14:paraId="2DC03BA1">
            <w:pPr>
              <w:pageBreakBefore w:val="0"/>
              <w:widowControl/>
              <w:kinsoku/>
              <w:wordWrap/>
              <w:overflowPunct/>
              <w:topLinePunct w:val="0"/>
              <w:bidi w:val="0"/>
              <w:spacing w:line="360" w:lineRule="exact"/>
              <w:jc w:val="left"/>
              <w:textAlignment w:val="auto"/>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 xml:space="preserve"> 符合合同要求 </w:t>
            </w:r>
          </w:p>
        </w:tc>
      </w:tr>
      <w:tr w14:paraId="3709D3D8">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448D7ECF">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1.2.2</w:t>
            </w:r>
          </w:p>
        </w:tc>
        <w:tc>
          <w:tcPr>
            <w:tcW w:w="3162" w:type="dxa"/>
            <w:tcBorders>
              <w:top w:val="single" w:color="auto" w:sz="4" w:space="0"/>
              <w:left w:val="single" w:color="auto" w:sz="4" w:space="0"/>
              <w:bottom w:val="single" w:color="auto" w:sz="4" w:space="0"/>
              <w:right w:val="single" w:color="auto" w:sz="4" w:space="0"/>
            </w:tcBorders>
            <w:vAlign w:val="center"/>
          </w:tcPr>
          <w:p w14:paraId="3865499D">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供应商其他资格要求</w:t>
            </w:r>
          </w:p>
        </w:tc>
        <w:tc>
          <w:tcPr>
            <w:tcW w:w="4669" w:type="dxa"/>
            <w:tcBorders>
              <w:top w:val="single" w:color="auto" w:sz="4" w:space="0"/>
              <w:left w:val="single" w:color="auto" w:sz="4" w:space="0"/>
              <w:bottom w:val="single" w:color="auto" w:sz="4" w:space="0"/>
              <w:right w:val="single" w:color="auto" w:sz="4" w:space="0"/>
            </w:tcBorders>
            <w:vAlign w:val="center"/>
          </w:tcPr>
          <w:p w14:paraId="33153751">
            <w:pPr>
              <w:pageBreakBefore w:val="0"/>
              <w:widowControl/>
              <w:kinsoku/>
              <w:wordWrap/>
              <w:overflowPunct/>
              <w:topLinePunct w:val="0"/>
              <w:bidi w:val="0"/>
              <w:spacing w:line="360" w:lineRule="exact"/>
              <w:jc w:val="left"/>
              <w:textAlignment w:val="auto"/>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 xml:space="preserve"> 符合合同要求 </w:t>
            </w:r>
          </w:p>
        </w:tc>
      </w:tr>
      <w:tr w14:paraId="5832FF86">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0B93D3D1">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w:t>
            </w:r>
          </w:p>
        </w:tc>
        <w:tc>
          <w:tcPr>
            <w:tcW w:w="3162" w:type="dxa"/>
            <w:tcBorders>
              <w:top w:val="single" w:color="auto" w:sz="4" w:space="0"/>
              <w:left w:val="single" w:color="auto" w:sz="4" w:space="0"/>
              <w:bottom w:val="single" w:color="auto" w:sz="4" w:space="0"/>
              <w:right w:val="single" w:color="auto" w:sz="4" w:space="0"/>
            </w:tcBorders>
            <w:vAlign w:val="center"/>
          </w:tcPr>
          <w:p w14:paraId="43A62308">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响应文件其他材料要求</w:t>
            </w:r>
          </w:p>
        </w:tc>
        <w:tc>
          <w:tcPr>
            <w:tcW w:w="4669" w:type="dxa"/>
            <w:tcBorders>
              <w:top w:val="single" w:color="auto" w:sz="4" w:space="0"/>
              <w:left w:val="single" w:color="auto" w:sz="4" w:space="0"/>
              <w:bottom w:val="single" w:color="auto" w:sz="4" w:space="0"/>
              <w:right w:val="single" w:color="auto" w:sz="4" w:space="0"/>
            </w:tcBorders>
            <w:vAlign w:val="center"/>
          </w:tcPr>
          <w:p w14:paraId="2A4B3A09">
            <w:pPr>
              <w:pageBreakBefore w:val="0"/>
              <w:widowControl/>
              <w:kinsoku/>
              <w:wordWrap/>
              <w:overflowPunct/>
              <w:topLinePunct w:val="0"/>
              <w:bidi w:val="0"/>
              <w:spacing w:line="360" w:lineRule="exact"/>
              <w:jc w:val="left"/>
              <w:textAlignment w:val="auto"/>
              <w:rPr>
                <w:rFonts w:hint="eastAsia"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 xml:space="preserve"> 符合响应文件要求 </w:t>
            </w:r>
          </w:p>
        </w:tc>
      </w:tr>
      <w:tr w14:paraId="30AB403F">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3BD6D8FE">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3.2.4</w:t>
            </w:r>
          </w:p>
        </w:tc>
        <w:tc>
          <w:tcPr>
            <w:tcW w:w="3162" w:type="dxa"/>
            <w:tcBorders>
              <w:top w:val="single" w:color="auto" w:sz="4" w:space="0"/>
              <w:left w:val="single" w:color="auto" w:sz="4" w:space="0"/>
              <w:bottom w:val="single" w:color="auto" w:sz="4" w:space="0"/>
              <w:right w:val="single" w:color="auto" w:sz="4" w:space="0"/>
            </w:tcBorders>
            <w:vAlign w:val="center"/>
          </w:tcPr>
          <w:p w14:paraId="740E97F3">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报价方式</w:t>
            </w:r>
          </w:p>
        </w:tc>
        <w:tc>
          <w:tcPr>
            <w:tcW w:w="4669" w:type="dxa"/>
            <w:tcBorders>
              <w:top w:val="single" w:color="auto" w:sz="4" w:space="0"/>
              <w:left w:val="single" w:color="auto" w:sz="4" w:space="0"/>
              <w:bottom w:val="single" w:color="auto" w:sz="4" w:space="0"/>
              <w:right w:val="single" w:color="auto" w:sz="4" w:space="0"/>
            </w:tcBorders>
            <w:vAlign w:val="center"/>
          </w:tcPr>
          <w:p w14:paraId="1A8AAD97">
            <w:pPr>
              <w:pageBreakBefore w:val="0"/>
              <w:kinsoku/>
              <w:wordWrap/>
              <w:overflowPunct/>
              <w:topLinePunct w:val="0"/>
              <w:bidi w:val="0"/>
              <w:spacing w:line="36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单价</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总价</w:t>
            </w:r>
          </w:p>
        </w:tc>
      </w:tr>
      <w:tr w14:paraId="7703C3CF">
        <w:tblPrEx>
          <w:tblCellMar>
            <w:top w:w="0" w:type="dxa"/>
            <w:left w:w="108" w:type="dxa"/>
            <w:bottom w:w="0" w:type="dxa"/>
            <w:right w:w="108" w:type="dxa"/>
          </w:tblCellMar>
        </w:tblPrEx>
        <w:trPr>
          <w:trHeight w:val="654" w:hRule="atLeast"/>
        </w:trPr>
        <w:tc>
          <w:tcPr>
            <w:tcW w:w="987" w:type="dxa"/>
            <w:tcBorders>
              <w:top w:val="single" w:color="auto" w:sz="4" w:space="0"/>
              <w:left w:val="single" w:color="auto" w:sz="4" w:space="0"/>
              <w:bottom w:val="single" w:color="auto" w:sz="4" w:space="0"/>
              <w:right w:val="single" w:color="auto" w:sz="4" w:space="0"/>
            </w:tcBorders>
            <w:vAlign w:val="center"/>
          </w:tcPr>
          <w:p w14:paraId="64835078">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3.2.5</w:t>
            </w:r>
          </w:p>
        </w:tc>
        <w:tc>
          <w:tcPr>
            <w:tcW w:w="3162" w:type="dxa"/>
            <w:tcBorders>
              <w:top w:val="single" w:color="auto" w:sz="4" w:space="0"/>
              <w:left w:val="single" w:color="auto" w:sz="4" w:space="0"/>
              <w:bottom w:val="single" w:color="auto" w:sz="4" w:space="0"/>
              <w:right w:val="single" w:color="auto" w:sz="4" w:space="0"/>
            </w:tcBorders>
            <w:vAlign w:val="center"/>
          </w:tcPr>
          <w:p w14:paraId="0E814A0A">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报价的其他要求</w:t>
            </w:r>
          </w:p>
        </w:tc>
        <w:tc>
          <w:tcPr>
            <w:tcW w:w="4669" w:type="dxa"/>
            <w:tcBorders>
              <w:top w:val="single" w:color="auto" w:sz="4" w:space="0"/>
              <w:left w:val="single" w:color="auto" w:sz="4" w:space="0"/>
              <w:bottom w:val="single" w:color="auto" w:sz="4" w:space="0"/>
              <w:right w:val="single" w:color="auto" w:sz="4" w:space="0"/>
            </w:tcBorders>
            <w:vAlign w:val="center"/>
          </w:tcPr>
          <w:p w14:paraId="3FBD2062">
            <w:pPr>
              <w:pageBreakBefore w:val="0"/>
              <w:kinsoku/>
              <w:wordWrap/>
              <w:overflowPunct/>
              <w:topLinePunct w:val="0"/>
              <w:bidi w:val="0"/>
              <w:spacing w:line="36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u w:val="single"/>
                <w:lang w:val="en-US" w:eastAsia="zh-CN"/>
              </w:rPr>
              <w:t xml:space="preserve"> 供应商报价不得高于最高限价，另需标明增值税税率及税额，不含税价格 </w:t>
            </w:r>
          </w:p>
        </w:tc>
      </w:tr>
      <w:tr w14:paraId="17FC6452">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17A386B8">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3.4.4（</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w:t>
            </w:r>
          </w:p>
        </w:tc>
        <w:tc>
          <w:tcPr>
            <w:tcW w:w="3162" w:type="dxa"/>
            <w:tcBorders>
              <w:top w:val="single" w:color="auto" w:sz="4" w:space="0"/>
              <w:left w:val="single" w:color="auto" w:sz="4" w:space="0"/>
              <w:bottom w:val="single" w:color="auto" w:sz="4" w:space="0"/>
              <w:right w:val="single" w:color="auto" w:sz="4" w:space="0"/>
            </w:tcBorders>
            <w:vAlign w:val="center"/>
          </w:tcPr>
          <w:p w14:paraId="7107B644">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其他不予退还响应保证金的情形</w:t>
            </w:r>
          </w:p>
        </w:tc>
        <w:tc>
          <w:tcPr>
            <w:tcW w:w="4669" w:type="dxa"/>
            <w:tcBorders>
              <w:top w:val="single" w:color="auto" w:sz="4" w:space="0"/>
              <w:left w:val="single" w:color="auto" w:sz="4" w:space="0"/>
              <w:bottom w:val="single" w:color="auto" w:sz="4" w:space="0"/>
              <w:right w:val="single" w:color="auto" w:sz="4" w:space="0"/>
            </w:tcBorders>
            <w:vAlign w:val="center"/>
          </w:tcPr>
          <w:p w14:paraId="0B37FD60">
            <w:pPr>
              <w:pageBreakBefore w:val="0"/>
              <w:kinsoku/>
              <w:wordWrap/>
              <w:overflowPunct/>
              <w:topLinePunct w:val="0"/>
              <w:bidi w:val="0"/>
              <w:spacing w:line="360" w:lineRule="exact"/>
              <w:ind w:firstLine="0" w:firstLineChars="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u w:val="single"/>
                <w:lang w:val="en-US" w:eastAsia="zh-CN"/>
              </w:rPr>
              <w:t xml:space="preserve">  /  </w:t>
            </w:r>
          </w:p>
        </w:tc>
      </w:tr>
      <w:tr w14:paraId="20C9075A">
        <w:tblPrEx>
          <w:tblCellMar>
            <w:top w:w="0" w:type="dxa"/>
            <w:left w:w="108" w:type="dxa"/>
            <w:bottom w:w="0" w:type="dxa"/>
            <w:right w:w="108" w:type="dxa"/>
          </w:tblCellMar>
        </w:tblPrEx>
        <w:trPr>
          <w:trHeight w:val="1039" w:hRule="atLeast"/>
        </w:trPr>
        <w:tc>
          <w:tcPr>
            <w:tcW w:w="987" w:type="dxa"/>
            <w:tcBorders>
              <w:top w:val="single" w:color="auto" w:sz="4" w:space="0"/>
              <w:left w:val="single" w:color="auto" w:sz="4" w:space="0"/>
              <w:bottom w:val="single" w:color="auto" w:sz="4" w:space="0"/>
              <w:right w:val="single" w:color="auto" w:sz="4" w:space="0"/>
            </w:tcBorders>
            <w:vAlign w:val="center"/>
          </w:tcPr>
          <w:p w14:paraId="759DC5C2">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3.6.3（2）</w:t>
            </w:r>
          </w:p>
        </w:tc>
        <w:tc>
          <w:tcPr>
            <w:tcW w:w="3162" w:type="dxa"/>
            <w:tcBorders>
              <w:top w:val="single" w:color="auto" w:sz="4" w:space="0"/>
              <w:left w:val="single" w:color="auto" w:sz="4" w:space="0"/>
              <w:bottom w:val="single" w:color="auto" w:sz="4" w:space="0"/>
              <w:right w:val="single" w:color="auto" w:sz="4" w:space="0"/>
            </w:tcBorders>
            <w:vAlign w:val="center"/>
          </w:tcPr>
          <w:p w14:paraId="3FD03324">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响应文件正副本份数</w:t>
            </w:r>
          </w:p>
        </w:tc>
        <w:tc>
          <w:tcPr>
            <w:tcW w:w="4669" w:type="dxa"/>
            <w:tcBorders>
              <w:top w:val="single" w:color="auto" w:sz="4" w:space="0"/>
              <w:left w:val="single" w:color="auto" w:sz="4" w:space="0"/>
              <w:bottom w:val="single" w:color="auto" w:sz="4" w:space="0"/>
              <w:right w:val="single" w:color="auto" w:sz="4" w:space="0"/>
            </w:tcBorders>
            <w:vAlign w:val="center"/>
          </w:tcPr>
          <w:p w14:paraId="119DC3A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壹</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份（其中正本</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rPr>
              <w:t>份），正本和副本的封面右上角上应清楚地标记“正本”或“副本”的字样。当副本和正本不一致时，以正本文件为准。</w:t>
            </w:r>
            <w:r>
              <w:rPr>
                <w:rFonts w:hint="eastAsia" w:ascii="宋体" w:hAnsi="宋体" w:eastAsia="宋体" w:cs="宋体"/>
                <w:sz w:val="18"/>
                <w:szCs w:val="18"/>
                <w:highlight w:val="none"/>
                <w:lang w:val="en-US" w:eastAsia="zh-CN"/>
              </w:rPr>
              <w:t>同时提供响应文件盖章扫描件电子版（U盘）</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lang w:val="en-US" w:eastAsia="zh-CN"/>
              </w:rPr>
              <w:t>份。</w:t>
            </w:r>
          </w:p>
        </w:tc>
      </w:tr>
      <w:tr w14:paraId="4B613023">
        <w:tblPrEx>
          <w:tblCellMar>
            <w:top w:w="0" w:type="dxa"/>
            <w:left w:w="108" w:type="dxa"/>
            <w:bottom w:w="0" w:type="dxa"/>
            <w:right w:w="108" w:type="dxa"/>
          </w:tblCellMar>
        </w:tblPrEx>
        <w:trPr>
          <w:trHeight w:val="422" w:hRule="atLeast"/>
        </w:trPr>
        <w:tc>
          <w:tcPr>
            <w:tcW w:w="987" w:type="dxa"/>
            <w:tcBorders>
              <w:top w:val="single" w:color="auto" w:sz="4" w:space="0"/>
              <w:left w:val="single" w:color="auto" w:sz="4" w:space="0"/>
              <w:bottom w:val="single" w:color="auto" w:sz="4" w:space="0"/>
              <w:right w:val="single" w:color="auto" w:sz="4" w:space="0"/>
            </w:tcBorders>
            <w:vAlign w:val="center"/>
          </w:tcPr>
          <w:p w14:paraId="1218EC70">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5.2.1（3）</w:t>
            </w:r>
          </w:p>
        </w:tc>
        <w:tc>
          <w:tcPr>
            <w:tcW w:w="3162" w:type="dxa"/>
            <w:tcBorders>
              <w:top w:val="single" w:color="auto" w:sz="4" w:space="0"/>
              <w:left w:val="single" w:color="auto" w:sz="4" w:space="0"/>
              <w:bottom w:val="single" w:color="auto" w:sz="4" w:space="0"/>
              <w:right w:val="single" w:color="auto" w:sz="4" w:space="0"/>
            </w:tcBorders>
            <w:vAlign w:val="center"/>
          </w:tcPr>
          <w:p w14:paraId="50378C6E">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启封公布的其他内容</w:t>
            </w:r>
          </w:p>
        </w:tc>
        <w:tc>
          <w:tcPr>
            <w:tcW w:w="4669" w:type="dxa"/>
            <w:tcBorders>
              <w:top w:val="single" w:color="auto" w:sz="4" w:space="0"/>
              <w:left w:val="single" w:color="auto" w:sz="4" w:space="0"/>
              <w:bottom w:val="single" w:color="auto" w:sz="4" w:space="0"/>
              <w:right w:val="single" w:color="auto" w:sz="4" w:space="0"/>
            </w:tcBorders>
            <w:vAlign w:val="center"/>
          </w:tcPr>
          <w:p w14:paraId="428FE797">
            <w:pPr>
              <w:pageBreakBefore w:val="0"/>
              <w:kinsoku/>
              <w:wordWrap/>
              <w:overflowPunct/>
              <w:topLinePunct w:val="0"/>
              <w:bidi w:val="0"/>
              <w:spacing w:line="36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u w:val="single"/>
                <w:lang w:val="en-US" w:eastAsia="zh-CN"/>
              </w:rPr>
              <w:t xml:space="preserve">  无  </w:t>
            </w:r>
          </w:p>
        </w:tc>
      </w:tr>
      <w:tr w14:paraId="0650A5A3">
        <w:tblPrEx>
          <w:tblCellMar>
            <w:top w:w="0" w:type="dxa"/>
            <w:left w:w="108" w:type="dxa"/>
            <w:bottom w:w="0" w:type="dxa"/>
            <w:right w:w="108" w:type="dxa"/>
          </w:tblCellMar>
        </w:tblPrEx>
        <w:trPr>
          <w:trHeight w:val="622" w:hRule="atLeast"/>
        </w:trPr>
        <w:tc>
          <w:tcPr>
            <w:tcW w:w="987" w:type="dxa"/>
            <w:tcBorders>
              <w:top w:val="single" w:color="auto" w:sz="4" w:space="0"/>
              <w:left w:val="single" w:color="auto" w:sz="4" w:space="0"/>
              <w:bottom w:val="single" w:color="auto" w:sz="4" w:space="0"/>
              <w:right w:val="single" w:color="auto" w:sz="4" w:space="0"/>
            </w:tcBorders>
            <w:vAlign w:val="center"/>
          </w:tcPr>
          <w:p w14:paraId="6503DDA5">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.1</w:t>
            </w:r>
          </w:p>
        </w:tc>
        <w:tc>
          <w:tcPr>
            <w:tcW w:w="3162" w:type="dxa"/>
            <w:tcBorders>
              <w:top w:val="single" w:color="auto" w:sz="4" w:space="0"/>
              <w:left w:val="single" w:color="auto" w:sz="4" w:space="0"/>
              <w:bottom w:val="single" w:color="auto" w:sz="4" w:space="0"/>
              <w:right w:val="single" w:color="auto" w:sz="4" w:space="0"/>
            </w:tcBorders>
            <w:vAlign w:val="center"/>
          </w:tcPr>
          <w:p w14:paraId="7C414760">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履约保证金</w:t>
            </w:r>
          </w:p>
        </w:tc>
        <w:tc>
          <w:tcPr>
            <w:tcW w:w="4669" w:type="dxa"/>
            <w:tcBorders>
              <w:top w:val="single" w:color="auto" w:sz="4" w:space="0"/>
              <w:left w:val="single" w:color="auto" w:sz="4" w:space="0"/>
              <w:bottom w:val="single" w:color="auto" w:sz="4" w:space="0"/>
              <w:right w:val="single" w:color="auto" w:sz="4" w:space="0"/>
            </w:tcBorders>
            <w:vAlign w:val="center"/>
          </w:tcPr>
          <w:p w14:paraId="2EC43FB8">
            <w:pPr>
              <w:pageBreakBefore w:val="0"/>
              <w:kinsoku/>
              <w:wordWrap/>
              <w:overflowPunct/>
              <w:topLinePunct w:val="0"/>
              <w:bidi w:val="0"/>
              <w:snapToGrid w:val="0"/>
              <w:spacing w:line="36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金额：</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lang w:val="en-US" w:eastAsia="zh-CN"/>
              </w:rPr>
              <w:t xml:space="preserve">             </w:t>
            </w:r>
          </w:p>
          <w:p w14:paraId="229FBB4D">
            <w:pPr>
              <w:pageBreakBefore w:val="0"/>
              <w:kinsoku/>
              <w:wordWrap/>
              <w:overflowPunct/>
              <w:topLinePunct w:val="0"/>
              <w:bidi w:val="0"/>
              <w:snapToGrid w:val="0"/>
              <w:spacing w:line="36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形式：</w:t>
            </w:r>
            <w:r>
              <w:rPr>
                <w:rFonts w:hint="eastAsia" w:ascii="宋体" w:hAnsi="宋体" w:eastAsia="宋体" w:cs="宋体"/>
                <w:sz w:val="18"/>
                <w:szCs w:val="18"/>
                <w:highlight w:val="none"/>
                <w:u w:val="single"/>
                <w:lang w:val="en-US" w:eastAsia="zh-CN"/>
              </w:rPr>
              <w:t xml:space="preserve">  /  </w:t>
            </w:r>
          </w:p>
        </w:tc>
      </w:tr>
      <w:tr w14:paraId="511DB957">
        <w:tblPrEx>
          <w:tblCellMar>
            <w:top w:w="0" w:type="dxa"/>
            <w:left w:w="108" w:type="dxa"/>
            <w:bottom w:w="0" w:type="dxa"/>
            <w:right w:w="108" w:type="dxa"/>
          </w:tblCellMar>
        </w:tblPrEx>
        <w:trPr>
          <w:trHeight w:val="427" w:hRule="atLeast"/>
        </w:trPr>
        <w:tc>
          <w:tcPr>
            <w:tcW w:w="987" w:type="dxa"/>
            <w:tcBorders>
              <w:top w:val="single" w:color="auto" w:sz="4" w:space="0"/>
              <w:left w:val="single" w:color="auto" w:sz="4" w:space="0"/>
              <w:bottom w:val="single" w:color="auto" w:sz="4" w:space="0"/>
              <w:right w:val="single" w:color="auto" w:sz="4" w:space="0"/>
            </w:tcBorders>
            <w:vAlign w:val="center"/>
          </w:tcPr>
          <w:p w14:paraId="5448D612">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7.4.3</w:t>
            </w:r>
          </w:p>
        </w:tc>
        <w:tc>
          <w:tcPr>
            <w:tcW w:w="3162" w:type="dxa"/>
            <w:tcBorders>
              <w:top w:val="single" w:color="auto" w:sz="4" w:space="0"/>
              <w:left w:val="single" w:color="auto" w:sz="4" w:space="0"/>
              <w:bottom w:val="single" w:color="auto" w:sz="4" w:space="0"/>
              <w:right w:val="single" w:color="auto" w:sz="4" w:space="0"/>
            </w:tcBorders>
            <w:vAlign w:val="center"/>
          </w:tcPr>
          <w:p w14:paraId="6D283B29">
            <w:pPr>
              <w:pageBreakBefore w:val="0"/>
              <w:kinsoku/>
              <w:wordWrap/>
              <w:overflowPunct/>
              <w:topLinePunct w:val="0"/>
              <w:bidi w:val="0"/>
              <w:spacing w:line="36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履约保证金</w:t>
            </w:r>
            <w:r>
              <w:rPr>
                <w:rFonts w:hint="eastAsia" w:ascii="宋体" w:hAnsi="宋体" w:eastAsia="宋体" w:cs="宋体"/>
                <w:sz w:val="18"/>
                <w:szCs w:val="18"/>
                <w:highlight w:val="none"/>
                <w:lang w:val="en-US" w:eastAsia="zh-CN"/>
              </w:rPr>
              <w:t>的退还</w:t>
            </w:r>
          </w:p>
        </w:tc>
        <w:tc>
          <w:tcPr>
            <w:tcW w:w="4669" w:type="dxa"/>
            <w:tcBorders>
              <w:top w:val="single" w:color="auto" w:sz="4" w:space="0"/>
              <w:left w:val="single" w:color="auto" w:sz="4" w:space="0"/>
              <w:bottom w:val="single" w:color="auto" w:sz="4" w:space="0"/>
              <w:right w:val="single" w:color="auto" w:sz="4" w:space="0"/>
            </w:tcBorders>
            <w:vAlign w:val="center"/>
          </w:tcPr>
          <w:p w14:paraId="300512E8">
            <w:pPr>
              <w:pageBreakBefore w:val="0"/>
              <w:kinsoku/>
              <w:wordWrap/>
              <w:overflowPunct/>
              <w:topLinePunct w:val="0"/>
              <w:bidi w:val="0"/>
              <w:snapToGrid w:val="0"/>
              <w:spacing w:line="36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u w:val="single"/>
                <w:lang w:val="en-US" w:eastAsia="zh-CN"/>
              </w:rPr>
              <w:t xml:space="preserve">  /  </w:t>
            </w:r>
          </w:p>
        </w:tc>
      </w:tr>
      <w:tr w14:paraId="071C259D">
        <w:tblPrEx>
          <w:tblCellMar>
            <w:top w:w="0" w:type="dxa"/>
            <w:left w:w="108" w:type="dxa"/>
            <w:bottom w:w="0" w:type="dxa"/>
            <w:right w:w="108" w:type="dxa"/>
          </w:tblCellMar>
        </w:tblPrEx>
        <w:trPr>
          <w:trHeight w:val="663" w:hRule="atLeast"/>
        </w:trPr>
        <w:tc>
          <w:tcPr>
            <w:tcW w:w="8818" w:type="dxa"/>
            <w:gridSpan w:val="3"/>
            <w:tcBorders>
              <w:top w:val="single" w:color="auto" w:sz="4" w:space="0"/>
              <w:left w:val="single" w:color="auto" w:sz="4" w:space="0"/>
              <w:bottom w:val="single" w:color="auto" w:sz="4" w:space="0"/>
              <w:right w:val="single" w:color="auto" w:sz="4" w:space="0"/>
            </w:tcBorders>
            <w:vAlign w:val="center"/>
          </w:tcPr>
          <w:p w14:paraId="4C6755E7">
            <w:pPr>
              <w:pageBreakBefore w:val="0"/>
              <w:kinsoku/>
              <w:wordWrap/>
              <w:overflowPunct/>
              <w:topLinePunct w:val="0"/>
              <w:bidi w:val="0"/>
              <w:snapToGrid w:val="0"/>
              <w:spacing w:line="360" w:lineRule="exac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需要补充的其他内容</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u w:val="single"/>
              </w:rPr>
              <w:t>供应商最多委派1名响应人代表（包括授权代理人在内）携带本人身份证到现场参加开启响应文件</w:t>
            </w:r>
          </w:p>
        </w:tc>
      </w:tr>
    </w:tbl>
    <w:p w14:paraId="1E8CF3A7">
      <w:pPr>
        <w:pageBreakBefore w:val="0"/>
        <w:kinsoku/>
        <w:wordWrap/>
        <w:overflowPunct/>
        <w:topLinePunct w:val="0"/>
        <w:bidi w:val="0"/>
        <w:spacing w:line="36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注：供应商须知正文与前附表内容不一致时，以供应商须知前附表的内容为准。</w:t>
      </w:r>
      <w:r>
        <w:rPr>
          <w:rFonts w:hint="eastAsia" w:ascii="宋体" w:hAnsi="宋体" w:eastAsia="宋体" w:cs="宋体"/>
          <w:sz w:val="18"/>
          <w:szCs w:val="18"/>
          <w:highlight w:val="none"/>
          <w:lang w:val="en-US" w:eastAsia="zh-CN"/>
        </w:rPr>
        <w:t>相应条款无相关要求的在前附表中打“/”。</w:t>
      </w:r>
    </w:p>
    <w:p w14:paraId="5DB07DF0">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1. 总则</w:t>
      </w:r>
      <w:bookmarkEnd w:id="51"/>
      <w:bookmarkEnd w:id="52"/>
      <w:bookmarkEnd w:id="53"/>
    </w:p>
    <w:p w14:paraId="5144E420">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lang w:val="en-US" w:eastAsia="zh-CN"/>
        </w:rPr>
      </w:pPr>
      <w:bookmarkStart w:id="54" w:name="_Toc26656939"/>
      <w:bookmarkStart w:id="55" w:name="_Toc14201208"/>
      <w:r>
        <w:rPr>
          <w:rFonts w:hint="eastAsia" w:ascii="宋体" w:hAnsi="宋体" w:eastAsia="宋体" w:cs="宋体"/>
          <w:b/>
          <w:bCs w:val="0"/>
          <w:sz w:val="18"/>
          <w:szCs w:val="18"/>
          <w:highlight w:val="none"/>
        </w:rPr>
        <w:t xml:space="preserve">1.1 </w:t>
      </w:r>
      <w:bookmarkEnd w:id="54"/>
      <w:bookmarkEnd w:id="55"/>
      <w:bookmarkStart w:id="56" w:name="_Toc14201210"/>
      <w:bookmarkStart w:id="57" w:name="_Toc26656941"/>
      <w:r>
        <w:rPr>
          <w:rFonts w:hint="eastAsia" w:ascii="宋体" w:hAnsi="宋体" w:eastAsia="宋体" w:cs="宋体"/>
          <w:b/>
          <w:bCs w:val="0"/>
          <w:sz w:val="18"/>
          <w:szCs w:val="18"/>
          <w:highlight w:val="none"/>
        </w:rPr>
        <w:t>质量</w:t>
      </w:r>
      <w:r>
        <w:rPr>
          <w:rFonts w:hint="eastAsia" w:ascii="宋体" w:hAnsi="宋体" w:eastAsia="宋体" w:cs="宋体"/>
          <w:b/>
          <w:bCs w:val="0"/>
          <w:sz w:val="18"/>
          <w:szCs w:val="18"/>
          <w:highlight w:val="none"/>
          <w:lang w:val="en-US"/>
        </w:rPr>
        <w:t>要求</w:t>
      </w:r>
      <w:bookmarkEnd w:id="56"/>
      <w:bookmarkEnd w:id="57"/>
    </w:p>
    <w:p w14:paraId="771DEB1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58" w:name="_Toc14201211"/>
      <w:bookmarkStart w:id="59" w:name="_Toc26656942"/>
      <w:r>
        <w:rPr>
          <w:rFonts w:hint="eastAsia" w:ascii="宋体" w:hAnsi="宋体" w:eastAsia="宋体" w:cs="宋体"/>
          <w:sz w:val="18"/>
          <w:szCs w:val="18"/>
          <w:highlight w:val="none"/>
        </w:rPr>
        <w:t>1.1.1 本合同包的质量要求：</w:t>
      </w:r>
      <w:r>
        <w:rPr>
          <w:rFonts w:hint="eastAsia" w:ascii="宋体" w:hAnsi="宋体" w:eastAsia="宋体" w:cs="宋体"/>
          <w:sz w:val="18"/>
          <w:szCs w:val="18"/>
          <w:highlight w:val="none"/>
          <w:u w:val="single"/>
        </w:rPr>
        <w:t xml:space="preserve">  符合合同要求  </w:t>
      </w:r>
      <w:r>
        <w:rPr>
          <w:rFonts w:hint="eastAsia" w:ascii="宋体" w:hAnsi="宋体" w:eastAsia="宋体" w:cs="宋体"/>
          <w:sz w:val="18"/>
          <w:szCs w:val="18"/>
          <w:highlight w:val="none"/>
        </w:rPr>
        <w:t>。</w:t>
      </w:r>
    </w:p>
    <w:p w14:paraId="51D0F93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1.1.2 本合同包的安全目标：</w:t>
      </w:r>
      <w:r>
        <w:rPr>
          <w:rFonts w:hint="eastAsia" w:ascii="宋体" w:hAnsi="宋体" w:eastAsia="宋体" w:cs="宋体"/>
          <w:sz w:val="18"/>
          <w:szCs w:val="18"/>
          <w:highlight w:val="none"/>
          <w:u w:val="single"/>
        </w:rPr>
        <w:t xml:space="preserve">  符合合同要求  </w:t>
      </w:r>
      <w:r>
        <w:rPr>
          <w:rFonts w:hint="eastAsia" w:ascii="宋体" w:hAnsi="宋体" w:eastAsia="宋体" w:cs="宋体"/>
          <w:sz w:val="18"/>
          <w:szCs w:val="18"/>
          <w:highlight w:val="none"/>
        </w:rPr>
        <w:t>。</w:t>
      </w:r>
    </w:p>
    <w:p w14:paraId="6CCE9A16">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Cs/>
          <w:sz w:val="18"/>
          <w:szCs w:val="18"/>
          <w:highlight w:val="none"/>
        </w:rPr>
      </w:pPr>
      <w:r>
        <w:rPr>
          <w:rFonts w:hint="eastAsia" w:ascii="宋体" w:hAnsi="宋体" w:eastAsia="宋体" w:cs="宋体"/>
          <w:bCs/>
          <w:sz w:val="18"/>
          <w:szCs w:val="18"/>
          <w:highlight w:val="none"/>
        </w:rPr>
        <w:t>1.2 供应商资格要求</w:t>
      </w:r>
      <w:bookmarkEnd w:id="58"/>
      <w:bookmarkEnd w:id="59"/>
    </w:p>
    <w:p w14:paraId="4C9717C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1.2.1供应商应具备承担本合同包供货的资质条件、能力和信誉：见第</w:t>
      </w:r>
      <w:r>
        <w:rPr>
          <w:rFonts w:hint="eastAsia" w:ascii="宋体" w:hAnsi="宋体" w:eastAsia="宋体" w:cs="宋体"/>
          <w:sz w:val="18"/>
          <w:szCs w:val="18"/>
          <w:highlight w:val="none"/>
          <w:u w:val="none"/>
        </w:rPr>
        <w:t>一章 采购公告第</w:t>
      </w:r>
      <w:r>
        <w:rPr>
          <w:rFonts w:hint="eastAsia" w:ascii="宋体" w:hAnsi="宋体" w:eastAsia="宋体" w:cs="宋体"/>
          <w:sz w:val="18"/>
          <w:szCs w:val="18"/>
          <w:highlight w:val="none"/>
        </w:rPr>
        <w:t>3.1款要求。</w:t>
      </w:r>
    </w:p>
    <w:p w14:paraId="0AC2C89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1.2.2 其他要求：</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rPr>
        <w:t>。</w:t>
      </w:r>
    </w:p>
    <w:p w14:paraId="2B9ABCAA">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60" w:name="_Toc14201212"/>
      <w:bookmarkStart w:id="61" w:name="_Toc26656943"/>
      <w:r>
        <w:rPr>
          <w:rFonts w:hint="eastAsia" w:ascii="宋体" w:hAnsi="宋体" w:eastAsia="宋体" w:cs="宋体"/>
          <w:b/>
          <w:bCs w:val="0"/>
          <w:sz w:val="18"/>
          <w:szCs w:val="18"/>
          <w:highlight w:val="none"/>
        </w:rPr>
        <w:t>1.3 费用承担</w:t>
      </w:r>
      <w:bookmarkEnd w:id="60"/>
      <w:bookmarkEnd w:id="61"/>
    </w:p>
    <w:p w14:paraId="1B0FD404">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供应商准备和参加询比活动发生的费用自理。</w:t>
      </w:r>
    </w:p>
    <w:p w14:paraId="29CDCAD4">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62" w:name="_Toc14201213"/>
      <w:bookmarkStart w:id="63" w:name="_Toc26656944"/>
      <w:r>
        <w:rPr>
          <w:rFonts w:hint="eastAsia" w:ascii="宋体" w:hAnsi="宋体" w:eastAsia="宋体" w:cs="宋体"/>
          <w:b/>
          <w:bCs w:val="0"/>
          <w:sz w:val="18"/>
          <w:szCs w:val="18"/>
          <w:highlight w:val="none"/>
        </w:rPr>
        <w:t>1.4 保密</w:t>
      </w:r>
      <w:bookmarkEnd w:id="62"/>
      <w:bookmarkEnd w:id="63"/>
    </w:p>
    <w:p w14:paraId="5A6047E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参与询比活动的各方应对询比文件和响应文件中的商业和技术等秘密保密，否则应承担相应的法律责任。</w:t>
      </w:r>
    </w:p>
    <w:p w14:paraId="308FD6D1">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64" w:name="_Toc14201215"/>
      <w:bookmarkStart w:id="65" w:name="_Toc26656946"/>
      <w:r>
        <w:rPr>
          <w:rFonts w:hint="eastAsia" w:ascii="宋体" w:hAnsi="宋体" w:eastAsia="宋体" w:cs="宋体"/>
          <w:b/>
          <w:bCs w:val="0"/>
          <w:sz w:val="18"/>
          <w:szCs w:val="18"/>
          <w:highlight w:val="none"/>
        </w:rPr>
        <w:t>1.5 计量单位</w:t>
      </w:r>
      <w:bookmarkEnd w:id="64"/>
      <w:bookmarkEnd w:id="65"/>
    </w:p>
    <w:p w14:paraId="7F09D197">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所有计量均采用中华人民共和国法定计量单位。</w:t>
      </w:r>
    </w:p>
    <w:p w14:paraId="652AE090">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66" w:name="_Toc14201216"/>
      <w:bookmarkStart w:id="67" w:name="_Toc26656947"/>
      <w:r>
        <w:rPr>
          <w:rFonts w:hint="eastAsia" w:ascii="宋体" w:hAnsi="宋体" w:eastAsia="宋体" w:cs="宋体"/>
          <w:b/>
          <w:bCs w:val="0"/>
          <w:sz w:val="18"/>
          <w:szCs w:val="18"/>
          <w:highlight w:val="none"/>
        </w:rPr>
        <w:t>1.6 踏勘现场</w:t>
      </w:r>
      <w:bookmarkEnd w:id="66"/>
      <w:bookmarkEnd w:id="67"/>
    </w:p>
    <w:p w14:paraId="7FCCE96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供应商自行踏勘现场且费用自理。</w:t>
      </w:r>
    </w:p>
    <w:p w14:paraId="55E80AF0">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68" w:name="_Toc26656949"/>
      <w:bookmarkStart w:id="69" w:name="_Toc14201218"/>
      <w:r>
        <w:rPr>
          <w:rFonts w:hint="eastAsia" w:ascii="宋体" w:hAnsi="宋体" w:eastAsia="宋体" w:cs="宋体"/>
          <w:b/>
          <w:bCs w:val="0"/>
          <w:sz w:val="18"/>
          <w:szCs w:val="18"/>
          <w:highlight w:val="none"/>
        </w:rPr>
        <w:t>1.7 分包</w:t>
      </w:r>
      <w:bookmarkEnd w:id="68"/>
      <w:bookmarkEnd w:id="69"/>
    </w:p>
    <w:p w14:paraId="1C092940">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不允许分包。</w:t>
      </w:r>
    </w:p>
    <w:p w14:paraId="5B2391BC">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70" w:name="_Toc14201219"/>
      <w:bookmarkStart w:id="71" w:name="_Toc26656950"/>
      <w:r>
        <w:rPr>
          <w:rFonts w:hint="eastAsia" w:ascii="宋体" w:hAnsi="宋体" w:eastAsia="宋体" w:cs="宋体"/>
          <w:b/>
          <w:bCs w:val="0"/>
          <w:sz w:val="18"/>
          <w:szCs w:val="18"/>
          <w:highlight w:val="none"/>
        </w:rPr>
        <w:t>1.8 偏</w:t>
      </w:r>
      <w:bookmarkEnd w:id="70"/>
      <w:bookmarkEnd w:id="71"/>
      <w:r>
        <w:rPr>
          <w:rFonts w:hint="eastAsia" w:ascii="宋体" w:hAnsi="宋体" w:eastAsia="宋体" w:cs="宋体"/>
          <w:b/>
          <w:bCs w:val="0"/>
          <w:sz w:val="18"/>
          <w:szCs w:val="18"/>
          <w:highlight w:val="none"/>
        </w:rPr>
        <w:t>差</w:t>
      </w:r>
    </w:p>
    <w:p w14:paraId="2C0ACEB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1.8.1 偏差包括重大偏差和细微偏差。</w:t>
      </w:r>
    </w:p>
    <w:p w14:paraId="20524F3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1.8.2 响应文件存在第三章“评审办法”中所列任一否决响应文件情形的，均属于存在重大偏差，响应文件将被否决。</w:t>
      </w:r>
    </w:p>
    <w:p w14:paraId="752D85FC">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72" w:name="_Toc26656951"/>
      <w:bookmarkStart w:id="73" w:name="_Toc14201220"/>
      <w:bookmarkStart w:id="74" w:name="_Toc9067721"/>
      <w:r>
        <w:rPr>
          <w:rFonts w:hint="eastAsia" w:ascii="宋体" w:hAnsi="宋体" w:eastAsia="宋体" w:cs="宋体"/>
          <w:b/>
          <w:bCs w:val="0"/>
          <w:sz w:val="18"/>
          <w:szCs w:val="18"/>
          <w:highlight w:val="none"/>
        </w:rPr>
        <w:t xml:space="preserve">2. </w:t>
      </w:r>
      <w:bookmarkEnd w:id="72"/>
      <w:bookmarkEnd w:id="73"/>
      <w:bookmarkEnd w:id="74"/>
      <w:r>
        <w:rPr>
          <w:rFonts w:hint="eastAsia" w:ascii="宋体" w:hAnsi="宋体" w:eastAsia="宋体" w:cs="宋体"/>
          <w:b/>
          <w:bCs w:val="0"/>
          <w:sz w:val="18"/>
          <w:szCs w:val="18"/>
          <w:highlight w:val="none"/>
        </w:rPr>
        <w:t>询比文件</w:t>
      </w:r>
    </w:p>
    <w:p w14:paraId="5368CF20">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75" w:name="_Toc14201221"/>
      <w:bookmarkStart w:id="76" w:name="_Toc26656952"/>
      <w:r>
        <w:rPr>
          <w:rFonts w:hint="eastAsia" w:ascii="宋体" w:hAnsi="宋体" w:eastAsia="宋体" w:cs="宋体"/>
          <w:b/>
          <w:bCs w:val="0"/>
          <w:sz w:val="18"/>
          <w:szCs w:val="18"/>
          <w:highlight w:val="none"/>
        </w:rPr>
        <w:t>2.1 询比文件的组成</w:t>
      </w:r>
      <w:bookmarkEnd w:id="75"/>
      <w:bookmarkEnd w:id="76"/>
    </w:p>
    <w:p w14:paraId="05FADFD9">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本询比文件包括：</w:t>
      </w:r>
    </w:p>
    <w:p w14:paraId="2188205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（1）采购公告；</w:t>
      </w:r>
    </w:p>
    <w:p w14:paraId="0D0AD756">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（2）供应商须知；</w:t>
      </w:r>
    </w:p>
    <w:p w14:paraId="72360A5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（3）评审办法；</w:t>
      </w:r>
    </w:p>
    <w:p w14:paraId="7C84CF6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（4）合同</w:t>
      </w:r>
      <w:r>
        <w:rPr>
          <w:rFonts w:hint="eastAsia" w:ascii="宋体" w:hAnsi="宋体" w:eastAsia="宋体" w:cs="宋体"/>
          <w:sz w:val="18"/>
          <w:szCs w:val="18"/>
          <w:highlight w:val="none"/>
          <w:lang w:val="en-US" w:eastAsia="zh-CN"/>
        </w:rPr>
        <w:t>内容</w:t>
      </w:r>
      <w:r>
        <w:rPr>
          <w:rFonts w:hint="eastAsia" w:ascii="宋体" w:hAnsi="宋体" w:eastAsia="宋体" w:cs="宋体"/>
          <w:sz w:val="18"/>
          <w:szCs w:val="18"/>
          <w:highlight w:val="none"/>
        </w:rPr>
        <w:t>；</w:t>
      </w:r>
    </w:p>
    <w:p w14:paraId="7883683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（5）响应文件格式。</w:t>
      </w:r>
    </w:p>
    <w:p w14:paraId="445257C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根据本章第2.2款对询比文件所作的澄清、修改，构成询比文件的组成部分。</w:t>
      </w:r>
    </w:p>
    <w:p w14:paraId="2683712B">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当询比文件、询比文件的澄清或修改等在同一内容的表述上不一致时，以最后发出的书面文件为准。</w:t>
      </w:r>
    </w:p>
    <w:p w14:paraId="6537B959">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77" w:name="_Toc14201222"/>
      <w:bookmarkStart w:id="78" w:name="_Toc26656953"/>
      <w:r>
        <w:rPr>
          <w:rFonts w:hint="eastAsia" w:ascii="宋体" w:hAnsi="宋体" w:eastAsia="宋体" w:cs="宋体"/>
          <w:b/>
          <w:bCs w:val="0"/>
          <w:sz w:val="18"/>
          <w:szCs w:val="18"/>
          <w:highlight w:val="none"/>
        </w:rPr>
        <w:t>2.2 询比文件的澄清</w:t>
      </w:r>
      <w:bookmarkEnd w:id="77"/>
      <w:bookmarkEnd w:id="78"/>
      <w:r>
        <w:rPr>
          <w:rFonts w:hint="eastAsia" w:ascii="宋体" w:hAnsi="宋体" w:eastAsia="宋体" w:cs="宋体"/>
          <w:b/>
          <w:bCs w:val="0"/>
          <w:sz w:val="18"/>
          <w:szCs w:val="18"/>
          <w:highlight w:val="none"/>
        </w:rPr>
        <w:t>与修改</w:t>
      </w:r>
    </w:p>
    <w:p w14:paraId="5342FEC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2.2.1供应商如有疑问，应在递交响应文件的截止时间3日前联系采购人对询比文件予以澄清或修改。</w:t>
      </w:r>
    </w:p>
    <w:p w14:paraId="4DEEBDC9">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2.2.2 除非采购人认为确有必要答复，否则，采购人有权拒绝回复供应商在本章第2.2.1项规定的时间后提出的任何澄清或修改要求。</w:t>
      </w:r>
    </w:p>
    <w:p w14:paraId="5BB102AE">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79" w:name="_Toc26656956"/>
      <w:bookmarkStart w:id="80" w:name="_Toc14201225"/>
      <w:bookmarkStart w:id="81" w:name="_Toc9067722"/>
      <w:r>
        <w:rPr>
          <w:rFonts w:hint="eastAsia" w:ascii="宋体" w:hAnsi="宋体" w:eastAsia="宋体" w:cs="宋体"/>
          <w:b/>
          <w:bCs w:val="0"/>
          <w:sz w:val="18"/>
          <w:szCs w:val="18"/>
          <w:highlight w:val="none"/>
        </w:rPr>
        <w:t xml:space="preserve">3. </w:t>
      </w:r>
      <w:bookmarkEnd w:id="79"/>
      <w:bookmarkEnd w:id="80"/>
      <w:bookmarkEnd w:id="81"/>
      <w:r>
        <w:rPr>
          <w:rFonts w:hint="eastAsia" w:ascii="宋体" w:hAnsi="宋体" w:eastAsia="宋体" w:cs="宋体"/>
          <w:b/>
          <w:bCs w:val="0"/>
          <w:sz w:val="18"/>
          <w:szCs w:val="18"/>
          <w:highlight w:val="none"/>
        </w:rPr>
        <w:t>响应文件</w:t>
      </w:r>
    </w:p>
    <w:p w14:paraId="745E7926">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82" w:name="_Toc14201226"/>
      <w:bookmarkStart w:id="83" w:name="_Toc26656957"/>
      <w:r>
        <w:rPr>
          <w:rFonts w:hint="eastAsia" w:ascii="宋体" w:hAnsi="宋体" w:eastAsia="宋体" w:cs="宋体"/>
          <w:b/>
          <w:bCs w:val="0"/>
          <w:sz w:val="18"/>
          <w:szCs w:val="18"/>
          <w:highlight w:val="none"/>
        </w:rPr>
        <w:t>3.1响应文件的组成</w:t>
      </w:r>
      <w:bookmarkEnd w:id="82"/>
      <w:bookmarkEnd w:id="83"/>
    </w:p>
    <w:p w14:paraId="2A15C31E">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响应文件应包括下列内容：</w:t>
      </w:r>
    </w:p>
    <w:p w14:paraId="0BBF3A86">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（1）报价函；</w:t>
      </w:r>
    </w:p>
    <w:p w14:paraId="328F86C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（2）法定代表人身份证明及授权委托书；</w:t>
      </w:r>
    </w:p>
    <w:p w14:paraId="3F36D88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（3）已标价的报价清单；</w:t>
      </w:r>
    </w:p>
    <w:p w14:paraId="6CA05EF4">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（4）供应商基本情况；</w:t>
      </w:r>
    </w:p>
    <w:p w14:paraId="7A8613B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（5）近年类似业绩情况；</w:t>
      </w:r>
    </w:p>
    <w:p w14:paraId="0C8E9AF0">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（6）拟委任的主要人员</w:t>
      </w:r>
      <w:r>
        <w:rPr>
          <w:rFonts w:hint="eastAsia" w:ascii="宋体" w:hAnsi="宋体" w:eastAsia="宋体" w:cs="宋体"/>
          <w:sz w:val="18"/>
          <w:szCs w:val="18"/>
          <w:highlight w:val="none"/>
          <w:lang w:eastAsia="zh-CN"/>
        </w:rPr>
        <w:t>；</w:t>
      </w:r>
    </w:p>
    <w:p w14:paraId="4553269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信誉情况；</w:t>
      </w:r>
    </w:p>
    <w:p w14:paraId="432C908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（8）其他材料。</w:t>
      </w:r>
    </w:p>
    <w:p w14:paraId="0FB080D6">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84" w:name="_Toc14201227"/>
      <w:bookmarkStart w:id="85" w:name="_Toc26656958"/>
      <w:r>
        <w:rPr>
          <w:rFonts w:hint="eastAsia" w:ascii="宋体" w:hAnsi="宋体" w:eastAsia="宋体" w:cs="宋体"/>
          <w:b/>
          <w:bCs w:val="0"/>
          <w:sz w:val="18"/>
          <w:szCs w:val="18"/>
          <w:highlight w:val="none"/>
        </w:rPr>
        <w:t>3.2 报价</w:t>
      </w:r>
      <w:bookmarkEnd w:id="84"/>
      <w:bookmarkEnd w:id="85"/>
      <w:r>
        <w:rPr>
          <w:rFonts w:hint="eastAsia" w:ascii="宋体" w:hAnsi="宋体" w:eastAsia="宋体" w:cs="宋体"/>
          <w:b/>
          <w:bCs w:val="0"/>
          <w:sz w:val="18"/>
          <w:szCs w:val="18"/>
          <w:highlight w:val="none"/>
        </w:rPr>
        <w:t xml:space="preserve">要求 </w:t>
      </w:r>
    </w:p>
    <w:p w14:paraId="18596DA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3.2.1 报价应包括国家规定的增值税税金，供应商应提供增值税（专用）发票。</w:t>
      </w:r>
    </w:p>
    <w:p w14:paraId="129174D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3.2.2 供应商应按第六章“响应文件格式”的要求在报价函中进行报价并填写报价清单相应表格。</w:t>
      </w:r>
    </w:p>
    <w:p w14:paraId="3B0DE7A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3.2.3 采购人设有最高限价的，供应商的报价不得超过最高限价，否则其报价将被否决，最高限价见第一章“采购公告”第2.5款。</w:t>
      </w:r>
    </w:p>
    <w:p w14:paraId="5D1ACF6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3.2.4本项目的报价方式为</w:t>
      </w:r>
      <w:r>
        <w:rPr>
          <w:rFonts w:hint="eastAsia" w:ascii="宋体" w:hAnsi="宋体" w:eastAsia="宋体" w:cs="宋体"/>
          <w:sz w:val="18"/>
          <w:szCs w:val="18"/>
          <w:highlight w:val="none"/>
          <w:u w:val="single"/>
          <w:lang w:val="en-US" w:eastAsia="zh-CN"/>
        </w:rPr>
        <w:t xml:space="preserve">  固定</w:t>
      </w:r>
      <w:r>
        <w:rPr>
          <w:rFonts w:hint="eastAsia" w:ascii="宋体" w:hAnsi="宋体" w:eastAsia="宋体" w:cs="宋体"/>
          <w:sz w:val="18"/>
          <w:szCs w:val="18"/>
          <w:highlight w:val="none"/>
          <w:u w:val="single"/>
        </w:rPr>
        <w:t>单价</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rPr>
        <w:t>。</w:t>
      </w:r>
    </w:p>
    <w:p w14:paraId="6F1E4F4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3.2.5 报价的其他要求</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u w:val="single"/>
          <w:lang w:val="en-US" w:eastAsia="zh-CN"/>
        </w:rPr>
        <w:t xml:space="preserve">  供应商报价不得高于最高限价，另需标明增值税税率及税额，不含税价格  </w:t>
      </w:r>
      <w:r>
        <w:rPr>
          <w:rFonts w:hint="eastAsia" w:ascii="宋体" w:hAnsi="宋体" w:eastAsia="宋体" w:cs="宋体"/>
          <w:sz w:val="18"/>
          <w:szCs w:val="18"/>
          <w:highlight w:val="none"/>
        </w:rPr>
        <w:t>。</w:t>
      </w:r>
    </w:p>
    <w:p w14:paraId="4A2A6346">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86" w:name="_Toc26656959"/>
      <w:bookmarkStart w:id="87" w:name="_Toc14201228"/>
      <w:r>
        <w:rPr>
          <w:rFonts w:hint="eastAsia" w:ascii="宋体" w:hAnsi="宋体" w:eastAsia="宋体" w:cs="宋体"/>
          <w:b/>
          <w:bCs w:val="0"/>
          <w:sz w:val="18"/>
          <w:szCs w:val="18"/>
          <w:highlight w:val="none"/>
        </w:rPr>
        <w:t>3.3</w:t>
      </w:r>
      <w:bookmarkEnd w:id="86"/>
      <w:bookmarkEnd w:id="87"/>
      <w:r>
        <w:rPr>
          <w:rFonts w:hint="eastAsia" w:ascii="宋体" w:hAnsi="宋体" w:eastAsia="宋体" w:cs="宋体"/>
          <w:b/>
          <w:bCs w:val="0"/>
          <w:sz w:val="18"/>
          <w:szCs w:val="18"/>
          <w:highlight w:val="none"/>
        </w:rPr>
        <w:t>响应有效期</w:t>
      </w:r>
    </w:p>
    <w:p w14:paraId="77CDF8A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3.3.1 响应有效期为自供应商递交响应文件截止之日起计算90日。</w:t>
      </w:r>
    </w:p>
    <w:p w14:paraId="4F171B2E">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3.3.2 在响应有效期内，供应商撤销响应文件的，应承担询比文件和法律规定的责任。</w:t>
      </w:r>
    </w:p>
    <w:p w14:paraId="116B2008">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88" w:name="_Toc26656960"/>
      <w:bookmarkStart w:id="89" w:name="_Toc14201229"/>
      <w:r>
        <w:rPr>
          <w:rFonts w:hint="eastAsia" w:ascii="宋体" w:hAnsi="宋体" w:eastAsia="宋体" w:cs="宋体"/>
          <w:b/>
          <w:bCs w:val="0"/>
          <w:sz w:val="18"/>
          <w:szCs w:val="18"/>
          <w:highlight w:val="none"/>
        </w:rPr>
        <w:t>3.4</w:t>
      </w:r>
      <w:bookmarkEnd w:id="88"/>
      <w:bookmarkEnd w:id="89"/>
      <w:r>
        <w:rPr>
          <w:rFonts w:hint="eastAsia" w:ascii="宋体" w:hAnsi="宋体" w:eastAsia="宋体" w:cs="宋体"/>
          <w:b/>
          <w:bCs w:val="0"/>
          <w:sz w:val="18"/>
          <w:szCs w:val="18"/>
          <w:highlight w:val="none"/>
        </w:rPr>
        <w:t>响应保证金</w:t>
      </w:r>
    </w:p>
    <w:p w14:paraId="3ABC67B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3.4.1 供应商在递交响应文件的同时，应按第一章“采购公告”第7条的要求递交响应保证金，并作为其响应文件的组成部分。</w:t>
      </w:r>
    </w:p>
    <w:p w14:paraId="0F719FE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无论采取何种形式的响应保证金，响应保证金有效期均应与响应有效期一致。</w:t>
      </w:r>
    </w:p>
    <w:p w14:paraId="2A41315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3.4.2 供应商不按本章第3.4.1项要求提交响应保证金的，评审小组将否决其响应文件。</w:t>
      </w:r>
    </w:p>
    <w:p w14:paraId="77CE3B90">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3.4.3 采购人在与成交人签订合同后5日内办理退还响应保证金手续。</w:t>
      </w:r>
    </w:p>
    <w:p w14:paraId="04C80A5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3.4.4 有下列情形之一的，响应保证金将不予退还：</w:t>
      </w:r>
    </w:p>
    <w:p w14:paraId="47E126F4">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（1）供应商在规定的响应有效期内撤销其响应文件；</w:t>
      </w:r>
    </w:p>
    <w:p w14:paraId="22713577">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0C424C9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u w:val="none"/>
          <w:lang w:eastAsia="zh-CN"/>
        </w:rPr>
        <w:t>（</w:t>
      </w:r>
      <w:r>
        <w:rPr>
          <w:rFonts w:hint="eastAsia" w:ascii="宋体" w:hAnsi="宋体" w:eastAsia="宋体" w:cs="宋体"/>
          <w:sz w:val="18"/>
          <w:szCs w:val="18"/>
          <w:highlight w:val="none"/>
          <w:u w:val="none"/>
          <w:lang w:val="en-US" w:eastAsia="zh-CN"/>
        </w:rPr>
        <w:t>3）</w:t>
      </w:r>
      <w:r>
        <w:rPr>
          <w:rFonts w:hint="eastAsia" w:ascii="宋体" w:hAnsi="宋体" w:eastAsia="宋体" w:cs="宋体"/>
          <w:sz w:val="18"/>
          <w:szCs w:val="18"/>
          <w:highlight w:val="none"/>
          <w:u w:val="none"/>
        </w:rPr>
        <w:t>供应商存在以他人名义报价、与他人串通报价、以行贿手段谋取成交、弄虚作假等行为</w:t>
      </w:r>
      <w:r>
        <w:rPr>
          <w:rFonts w:hint="eastAsia" w:ascii="宋体" w:hAnsi="宋体" w:eastAsia="宋体" w:cs="宋体"/>
          <w:sz w:val="18"/>
          <w:szCs w:val="18"/>
          <w:highlight w:val="none"/>
          <w:u w:val="none"/>
          <w:lang w:eastAsia="zh-CN"/>
        </w:rPr>
        <w:t>；</w:t>
      </w:r>
    </w:p>
    <w:p w14:paraId="2B1788C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rPr>
        <w:t>（其他情形）。</w:t>
      </w:r>
    </w:p>
    <w:p w14:paraId="57BD03F7">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90" w:name="_Toc14201230"/>
      <w:bookmarkStart w:id="91" w:name="_Toc26656961"/>
      <w:r>
        <w:rPr>
          <w:rFonts w:hint="eastAsia" w:ascii="宋体" w:hAnsi="宋体" w:eastAsia="宋体" w:cs="宋体"/>
          <w:b/>
          <w:bCs w:val="0"/>
          <w:sz w:val="18"/>
          <w:szCs w:val="18"/>
          <w:highlight w:val="none"/>
        </w:rPr>
        <w:t>3.5资格审查资料</w:t>
      </w:r>
      <w:bookmarkEnd w:id="90"/>
      <w:bookmarkEnd w:id="91"/>
    </w:p>
    <w:p w14:paraId="3AAF3B4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供应商应按第六章“响应文件格式”的规定提供资格审查资料，以证明其满足本章第1.2款规定的资质、业绩、信誉等要求。</w:t>
      </w:r>
    </w:p>
    <w:p w14:paraId="610E8F49">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92" w:name="_Toc26656963"/>
      <w:bookmarkStart w:id="93" w:name="_Toc14201232"/>
      <w:r>
        <w:rPr>
          <w:rFonts w:hint="eastAsia" w:ascii="宋体" w:hAnsi="宋体" w:eastAsia="宋体" w:cs="宋体"/>
          <w:b/>
          <w:bCs w:val="0"/>
          <w:sz w:val="18"/>
          <w:szCs w:val="18"/>
          <w:highlight w:val="none"/>
        </w:rPr>
        <w:t>3.6响应文件的编制</w:t>
      </w:r>
      <w:bookmarkEnd w:id="92"/>
      <w:bookmarkEnd w:id="93"/>
    </w:p>
    <w:p w14:paraId="424021A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3.6.1 响应文件应按第六章“响应文件格式”进行编写，如有必要，可以增加附页，作为响应文件的组成部分。</w:t>
      </w:r>
    </w:p>
    <w:p w14:paraId="7F4CDC67">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3.6.2 响应文件应当对询比文件有关交货期、响应有效期、质量</w:t>
      </w:r>
      <w:r>
        <w:rPr>
          <w:rFonts w:hint="eastAsia" w:ascii="宋体" w:hAnsi="宋体" w:eastAsia="宋体" w:cs="宋体"/>
          <w:sz w:val="18"/>
          <w:szCs w:val="18"/>
          <w:highlight w:val="none"/>
          <w:lang w:val="en-US"/>
        </w:rPr>
        <w:t>要求</w:t>
      </w:r>
      <w:r>
        <w:rPr>
          <w:rFonts w:hint="eastAsia" w:ascii="宋体" w:hAnsi="宋体" w:eastAsia="宋体" w:cs="宋体"/>
          <w:sz w:val="18"/>
          <w:szCs w:val="18"/>
          <w:highlight w:val="none"/>
        </w:rPr>
        <w:t>、技术标准和要求、采购范围等实质性内容作出响应。</w:t>
      </w:r>
    </w:p>
    <w:p w14:paraId="74C92BA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3.6.3响应文件的制作应满足以下规定：</w:t>
      </w:r>
    </w:p>
    <w:p w14:paraId="24A878D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670938FE">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（2）响应文件正本</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rPr>
        <w:t>份。正本和副本的封面右上角上应清楚地标记“正本”或“副本”的字样。当副本和正本不一致时，以正本文件为准。</w:t>
      </w:r>
      <w:r>
        <w:rPr>
          <w:rFonts w:hint="eastAsia" w:ascii="宋体" w:hAnsi="宋体" w:eastAsia="宋体" w:cs="宋体"/>
          <w:sz w:val="18"/>
          <w:szCs w:val="18"/>
          <w:highlight w:val="none"/>
          <w:lang w:val="en-US" w:eastAsia="zh-CN"/>
        </w:rPr>
        <w:t>同时提供响应文件盖章扫描件电子版（U盘）</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lang w:val="en-US" w:eastAsia="zh-CN"/>
        </w:rPr>
        <w:t>份。</w:t>
      </w:r>
    </w:p>
    <w:p w14:paraId="6899AF1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（3）响应文件的正本与副本应分别装订。</w:t>
      </w:r>
    </w:p>
    <w:p w14:paraId="2E14FCA7">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94" w:name="_Toc26656964"/>
      <w:bookmarkStart w:id="95" w:name="_Toc9067723"/>
      <w:bookmarkStart w:id="96" w:name="_Toc14201233"/>
      <w:r>
        <w:rPr>
          <w:rFonts w:hint="eastAsia" w:ascii="宋体" w:hAnsi="宋体" w:eastAsia="宋体" w:cs="宋体"/>
          <w:b/>
          <w:bCs w:val="0"/>
          <w:sz w:val="18"/>
          <w:szCs w:val="18"/>
          <w:highlight w:val="none"/>
        </w:rPr>
        <w:t xml:space="preserve">4. </w:t>
      </w:r>
      <w:bookmarkEnd w:id="94"/>
      <w:bookmarkEnd w:id="95"/>
      <w:bookmarkEnd w:id="96"/>
      <w:r>
        <w:rPr>
          <w:rFonts w:hint="eastAsia" w:ascii="宋体" w:hAnsi="宋体" w:eastAsia="宋体" w:cs="宋体"/>
          <w:b/>
          <w:bCs w:val="0"/>
          <w:sz w:val="18"/>
          <w:szCs w:val="18"/>
          <w:highlight w:val="none"/>
        </w:rPr>
        <w:t>响应文件的递交</w:t>
      </w:r>
    </w:p>
    <w:p w14:paraId="48C4C273">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97" w:name="_Toc14201234"/>
      <w:bookmarkStart w:id="98" w:name="_Toc26656965"/>
      <w:r>
        <w:rPr>
          <w:rFonts w:hint="eastAsia" w:ascii="宋体" w:hAnsi="宋体" w:eastAsia="宋体" w:cs="宋体"/>
          <w:b/>
          <w:bCs w:val="0"/>
          <w:sz w:val="18"/>
          <w:szCs w:val="18"/>
          <w:highlight w:val="none"/>
        </w:rPr>
        <w:t>4.1响应文件的密封和标记</w:t>
      </w:r>
      <w:bookmarkEnd w:id="97"/>
      <w:bookmarkEnd w:id="98"/>
    </w:p>
    <w:p w14:paraId="1C10513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4.1.1响应文件正、副本应密封包装在一个封套内，封套上注明：</w:t>
      </w:r>
    </w:p>
    <w:p w14:paraId="4AD83063">
      <w:pPr>
        <w:pageBreakBefore w:val="0"/>
        <w:kinsoku/>
        <w:wordWrap/>
        <w:overflowPunct/>
        <w:topLinePunct w:val="0"/>
        <w:bidi w:val="0"/>
        <w:spacing w:line="360" w:lineRule="exact"/>
        <w:ind w:firstLine="420"/>
        <w:textAlignment w:val="auto"/>
        <w:rPr>
          <w:rFonts w:hint="eastAsia" w:ascii="宋体" w:hAnsi="宋体" w:eastAsia="宋体" w:cs="宋体"/>
          <w:bCs/>
          <w:snapToGrid w:val="0"/>
          <w:kern w:val="0"/>
          <w:sz w:val="18"/>
          <w:szCs w:val="18"/>
          <w:highlight w:val="none"/>
        </w:rPr>
      </w:pPr>
      <w:r>
        <w:rPr>
          <w:rFonts w:hint="eastAsia" w:ascii="宋体" w:hAnsi="宋体" w:eastAsia="宋体" w:cs="宋体"/>
          <w:bCs/>
          <w:snapToGrid w:val="0"/>
          <w:kern w:val="0"/>
          <w:sz w:val="18"/>
          <w:szCs w:val="18"/>
          <w:highlight w:val="none"/>
        </w:rPr>
        <w:t>供应商名称：</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u w:val="single"/>
          <w:lang w:val="en-US" w:eastAsia="zh-CN"/>
        </w:rPr>
        <w:t>xxxx公司</w:t>
      </w:r>
      <w:r>
        <w:rPr>
          <w:rFonts w:hint="eastAsia" w:ascii="宋体" w:hAnsi="宋体" w:eastAsia="宋体" w:cs="宋体"/>
          <w:bCs/>
          <w:snapToGrid w:val="0"/>
          <w:kern w:val="0"/>
          <w:sz w:val="18"/>
          <w:szCs w:val="18"/>
          <w:highlight w:val="none"/>
          <w:u w:val="single"/>
        </w:rPr>
        <w:t xml:space="preserve">  </w:t>
      </w:r>
    </w:p>
    <w:p w14:paraId="6D8CDDE4">
      <w:pPr>
        <w:pageBreakBefore w:val="0"/>
        <w:kinsoku/>
        <w:wordWrap/>
        <w:overflowPunct/>
        <w:topLinePunct w:val="0"/>
        <w:bidi w:val="0"/>
        <w:spacing w:line="360" w:lineRule="exact"/>
        <w:ind w:firstLine="420"/>
        <w:textAlignment w:val="auto"/>
        <w:rPr>
          <w:rFonts w:hint="eastAsia" w:ascii="宋体" w:hAnsi="宋体" w:eastAsia="宋体" w:cs="宋体"/>
          <w:bCs/>
          <w:snapToGrid w:val="0"/>
          <w:kern w:val="0"/>
          <w:sz w:val="18"/>
          <w:szCs w:val="18"/>
          <w:highlight w:val="none"/>
        </w:rPr>
      </w:pPr>
      <w:r>
        <w:rPr>
          <w:rFonts w:hint="eastAsia" w:ascii="宋体" w:hAnsi="宋体" w:eastAsia="宋体" w:cs="宋体"/>
          <w:bCs/>
          <w:snapToGrid w:val="0"/>
          <w:kern w:val="0"/>
          <w:sz w:val="18"/>
          <w:szCs w:val="18"/>
          <w:highlight w:val="none"/>
          <w:u w:val="single"/>
        </w:rPr>
        <w:t xml:space="preserve">  青浦区华新镇安联明悦邸（安联·虹悦）2025年</w:t>
      </w:r>
      <w:r>
        <w:rPr>
          <w:rFonts w:hint="eastAsia" w:ascii="宋体" w:hAnsi="宋体" w:cs="宋体"/>
          <w:bCs/>
          <w:snapToGrid w:val="0"/>
          <w:kern w:val="0"/>
          <w:sz w:val="18"/>
          <w:szCs w:val="18"/>
          <w:highlight w:val="none"/>
          <w:u w:val="single"/>
          <w:lang w:eastAsia="zh-CN"/>
        </w:rPr>
        <w:t>拓客</w:t>
      </w:r>
      <w:r>
        <w:rPr>
          <w:rFonts w:hint="eastAsia" w:ascii="宋体" w:hAnsi="宋体" w:eastAsia="宋体" w:cs="宋体"/>
          <w:bCs/>
          <w:snapToGrid w:val="0"/>
          <w:kern w:val="0"/>
          <w:sz w:val="18"/>
          <w:szCs w:val="18"/>
          <w:highlight w:val="none"/>
          <w:u w:val="single"/>
        </w:rPr>
        <w:t xml:space="preserve">礼品采购服务  </w:t>
      </w:r>
      <w:r>
        <w:rPr>
          <w:rFonts w:hint="eastAsia" w:ascii="宋体" w:hAnsi="宋体" w:eastAsia="宋体" w:cs="宋体"/>
          <w:bCs/>
          <w:snapToGrid w:val="0"/>
          <w:kern w:val="0"/>
          <w:sz w:val="18"/>
          <w:szCs w:val="18"/>
          <w:highlight w:val="none"/>
        </w:rPr>
        <w:t>合同包响应文件</w:t>
      </w:r>
    </w:p>
    <w:p w14:paraId="50C11184">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bCs/>
          <w:snapToGrid w:val="0"/>
          <w:kern w:val="0"/>
          <w:sz w:val="18"/>
          <w:szCs w:val="18"/>
          <w:highlight w:val="none"/>
        </w:rPr>
        <w:t>在</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u w:val="single"/>
          <w:lang w:val="en-US" w:eastAsia="zh-CN"/>
        </w:rPr>
        <w:t>2025</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rPr>
        <w:t>年</w:t>
      </w:r>
      <w:r>
        <w:rPr>
          <w:rFonts w:hint="eastAsia" w:ascii="宋体" w:hAnsi="宋体" w:eastAsia="宋体" w:cs="宋体"/>
          <w:bCs/>
          <w:snapToGrid w:val="0"/>
          <w:kern w:val="0"/>
          <w:sz w:val="18"/>
          <w:szCs w:val="18"/>
          <w:highlight w:val="none"/>
          <w:u w:val="single"/>
        </w:rPr>
        <w:t xml:space="preserve"> </w:t>
      </w:r>
      <w:r>
        <w:rPr>
          <w:rFonts w:hint="eastAsia" w:ascii="宋体" w:hAnsi="宋体" w:cs="宋体"/>
          <w:bCs/>
          <w:snapToGrid w:val="0"/>
          <w:kern w:val="0"/>
          <w:sz w:val="18"/>
          <w:szCs w:val="18"/>
          <w:highlight w:val="none"/>
          <w:u w:val="single"/>
          <w:lang w:val="en-US" w:eastAsia="zh-CN"/>
        </w:rPr>
        <w:t>11</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rPr>
        <w:t>月</w:t>
      </w:r>
      <w:r>
        <w:rPr>
          <w:rFonts w:hint="eastAsia" w:ascii="宋体" w:hAnsi="宋体" w:eastAsia="宋体" w:cs="宋体"/>
          <w:bCs/>
          <w:snapToGrid w:val="0"/>
          <w:kern w:val="0"/>
          <w:sz w:val="18"/>
          <w:szCs w:val="18"/>
          <w:highlight w:val="none"/>
          <w:u w:val="single"/>
        </w:rPr>
        <w:t xml:space="preserve"> </w:t>
      </w:r>
      <w:r>
        <w:rPr>
          <w:rFonts w:hint="eastAsia" w:ascii="宋体" w:hAnsi="宋体" w:cs="宋体"/>
          <w:bCs/>
          <w:snapToGrid w:val="0"/>
          <w:kern w:val="0"/>
          <w:sz w:val="18"/>
          <w:szCs w:val="18"/>
          <w:highlight w:val="none"/>
          <w:u w:val="single"/>
          <w:lang w:val="en-US" w:eastAsia="zh-CN"/>
        </w:rPr>
        <w:t>5</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rPr>
        <w:t>日</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u w:val="single"/>
          <w:lang w:val="en-US" w:eastAsia="zh-CN"/>
        </w:rPr>
        <w:t>11</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rPr>
        <w:t>时</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u w:val="single"/>
          <w:lang w:val="en-US" w:eastAsia="zh-CN"/>
        </w:rPr>
        <w:t>00</w:t>
      </w:r>
      <w:r>
        <w:rPr>
          <w:rFonts w:hint="eastAsia" w:ascii="宋体" w:hAnsi="宋体" w:eastAsia="宋体" w:cs="宋体"/>
          <w:bCs/>
          <w:snapToGrid w:val="0"/>
          <w:kern w:val="0"/>
          <w:sz w:val="18"/>
          <w:szCs w:val="18"/>
          <w:highlight w:val="none"/>
          <w:u w:val="single"/>
        </w:rPr>
        <w:t xml:space="preserve"> </w:t>
      </w:r>
      <w:r>
        <w:rPr>
          <w:rFonts w:hint="eastAsia" w:ascii="宋体" w:hAnsi="宋体" w:eastAsia="宋体" w:cs="宋体"/>
          <w:bCs/>
          <w:snapToGrid w:val="0"/>
          <w:kern w:val="0"/>
          <w:sz w:val="18"/>
          <w:szCs w:val="18"/>
          <w:highlight w:val="none"/>
        </w:rPr>
        <w:t>分（递交响应文件的截止时间）前不得开启</w:t>
      </w:r>
    </w:p>
    <w:p w14:paraId="576380B4">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4.1.2未按本章第4.1.1项要求密封的响应文件，采购人将予以拒收。</w:t>
      </w:r>
    </w:p>
    <w:p w14:paraId="7AA95248">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99" w:name="_Toc26656966"/>
      <w:bookmarkStart w:id="100" w:name="_Toc14201235"/>
      <w:r>
        <w:rPr>
          <w:rFonts w:hint="eastAsia" w:ascii="宋体" w:hAnsi="宋体" w:eastAsia="宋体" w:cs="宋体"/>
          <w:b/>
          <w:bCs w:val="0"/>
          <w:sz w:val="18"/>
          <w:szCs w:val="18"/>
          <w:highlight w:val="none"/>
        </w:rPr>
        <w:t>4.2 响应文件的递交</w:t>
      </w:r>
      <w:bookmarkEnd w:id="99"/>
      <w:bookmarkEnd w:id="100"/>
    </w:p>
    <w:p w14:paraId="3160E77E">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4.2.1供应商应当按照第一章“采购公告”第5条的规定递交响应文件。</w:t>
      </w:r>
    </w:p>
    <w:p w14:paraId="20FBCA6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4.2.2 递交响应文件的供应商数量不足3家时，采购人将宣布本次采购失败，并退还已递交的响应文件。</w:t>
      </w:r>
    </w:p>
    <w:p w14:paraId="66D7067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4.2.3 除第4.2.2项规定外，供应商所递交的响应文件不予退还。</w:t>
      </w:r>
    </w:p>
    <w:p w14:paraId="4605D9CE">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101" w:name="_Toc26656968"/>
      <w:bookmarkStart w:id="102" w:name="_Toc14201237"/>
      <w:bookmarkStart w:id="103" w:name="_Toc9067724"/>
      <w:r>
        <w:rPr>
          <w:rFonts w:hint="eastAsia" w:ascii="宋体" w:hAnsi="宋体" w:eastAsia="宋体" w:cs="宋体"/>
          <w:b/>
          <w:bCs w:val="0"/>
          <w:sz w:val="18"/>
          <w:szCs w:val="18"/>
          <w:highlight w:val="none"/>
        </w:rPr>
        <w:t xml:space="preserve">5. </w:t>
      </w:r>
      <w:bookmarkEnd w:id="101"/>
      <w:bookmarkEnd w:id="102"/>
      <w:bookmarkEnd w:id="103"/>
      <w:r>
        <w:rPr>
          <w:rFonts w:hint="eastAsia" w:ascii="宋体" w:hAnsi="宋体" w:eastAsia="宋体" w:cs="宋体"/>
          <w:b/>
          <w:bCs w:val="0"/>
          <w:sz w:val="18"/>
          <w:szCs w:val="18"/>
          <w:highlight w:val="none"/>
        </w:rPr>
        <w:t>启封</w:t>
      </w:r>
    </w:p>
    <w:p w14:paraId="6FB61376">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104" w:name="_Toc26656969"/>
      <w:bookmarkStart w:id="105" w:name="_Toc14201238"/>
      <w:r>
        <w:rPr>
          <w:rFonts w:hint="eastAsia" w:ascii="宋体" w:hAnsi="宋体" w:eastAsia="宋体" w:cs="宋体"/>
          <w:b/>
          <w:bCs w:val="0"/>
          <w:sz w:val="18"/>
          <w:szCs w:val="18"/>
          <w:highlight w:val="none"/>
        </w:rPr>
        <w:t>5.1 启封时间和地点</w:t>
      </w:r>
      <w:bookmarkEnd w:id="104"/>
      <w:bookmarkEnd w:id="105"/>
    </w:p>
    <w:p w14:paraId="3B2DD887">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采购人在本章第4.2.1项规定的响应文件递交截止时间（启封时间），按照第一章“采购公告”第6条的规定进行启封。</w:t>
      </w:r>
    </w:p>
    <w:p w14:paraId="67A1AA9B">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供应商若未派法定代表人或其委托代理人出席启封活动，视为该供应商默认启封结果。</w:t>
      </w:r>
    </w:p>
    <w:p w14:paraId="03DF19B5">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106" w:name="_Toc14201239"/>
      <w:bookmarkStart w:id="107" w:name="_Toc26656970"/>
      <w:r>
        <w:rPr>
          <w:rFonts w:hint="eastAsia" w:ascii="宋体" w:hAnsi="宋体" w:eastAsia="宋体" w:cs="宋体"/>
          <w:b/>
          <w:bCs w:val="0"/>
          <w:sz w:val="18"/>
          <w:szCs w:val="18"/>
          <w:highlight w:val="none"/>
        </w:rPr>
        <w:t>5.2启封程序</w:t>
      </w:r>
      <w:bookmarkEnd w:id="106"/>
      <w:bookmarkEnd w:id="107"/>
    </w:p>
    <w:p w14:paraId="06CA4E7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5.2.1主持人按下列程序进行启封： </w:t>
      </w:r>
    </w:p>
    <w:p w14:paraId="6159378B">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（1）公布在响应文件递交截止时间前递交响应文件的供应商名称；</w:t>
      </w:r>
    </w:p>
    <w:p w14:paraId="7937819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（2）由供应商推选的代表检查响应文件的密封情况； </w:t>
      </w:r>
    </w:p>
    <w:p w14:paraId="5286E564">
      <w:pPr>
        <w:pageBreakBefore w:val="0"/>
        <w:kinsoku/>
        <w:wordWrap/>
        <w:overflowPunct/>
        <w:topLinePunct w:val="0"/>
        <w:bidi w:val="0"/>
        <w:spacing w:line="360" w:lineRule="exact"/>
        <w:ind w:firstLine="420"/>
        <w:textAlignment w:val="auto"/>
        <w:rPr>
          <w:rFonts w:hint="eastAsia" w:ascii="宋体" w:hAnsi="宋体" w:eastAsia="宋体" w:cs="宋体"/>
          <w:bCs/>
          <w:sz w:val="18"/>
          <w:szCs w:val="18"/>
          <w:highlight w:val="none"/>
        </w:rPr>
      </w:pPr>
      <w:r>
        <w:rPr>
          <w:rFonts w:hint="eastAsia" w:ascii="宋体" w:hAnsi="宋体" w:eastAsia="宋体" w:cs="宋体"/>
          <w:sz w:val="18"/>
          <w:szCs w:val="18"/>
          <w:highlight w:val="none"/>
        </w:rPr>
        <w:t>（3）</w:t>
      </w:r>
      <w:r>
        <w:rPr>
          <w:rFonts w:hint="eastAsia" w:ascii="宋体" w:hAnsi="宋体" w:eastAsia="宋体" w:cs="宋体"/>
          <w:bCs/>
          <w:sz w:val="18"/>
          <w:szCs w:val="18"/>
          <w:highlight w:val="none"/>
        </w:rPr>
        <w:t>对响应文件进行启封，公布供应商名称、合同包名称、报价、质量</w:t>
      </w:r>
      <w:r>
        <w:rPr>
          <w:rFonts w:hint="eastAsia" w:ascii="宋体" w:hAnsi="宋体" w:eastAsia="宋体" w:cs="宋体"/>
          <w:bCs/>
          <w:sz w:val="18"/>
          <w:szCs w:val="18"/>
          <w:highlight w:val="none"/>
          <w:lang w:val="en-US"/>
        </w:rPr>
        <w:t>目标</w:t>
      </w:r>
      <w:r>
        <w:rPr>
          <w:rFonts w:hint="eastAsia" w:ascii="宋体" w:hAnsi="宋体" w:eastAsia="宋体" w:cs="宋体"/>
          <w:bCs/>
          <w:sz w:val="18"/>
          <w:szCs w:val="18"/>
          <w:highlight w:val="none"/>
        </w:rPr>
        <w:t>、交货期、响应保证金递交情况及其他内容；</w:t>
      </w:r>
    </w:p>
    <w:p w14:paraId="7D799B97">
      <w:pPr>
        <w:pageBreakBefore w:val="0"/>
        <w:kinsoku/>
        <w:wordWrap/>
        <w:overflowPunct/>
        <w:topLinePunct w:val="0"/>
        <w:bidi w:val="0"/>
        <w:spacing w:line="360" w:lineRule="exact"/>
        <w:ind w:firstLine="420"/>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（4）</w:t>
      </w:r>
      <w:r>
        <w:rPr>
          <w:rFonts w:hint="eastAsia" w:ascii="宋体" w:hAnsi="宋体" w:eastAsia="宋体" w:cs="宋体"/>
          <w:sz w:val="18"/>
          <w:szCs w:val="18"/>
          <w:highlight w:val="none"/>
        </w:rPr>
        <w:t>供应商代表、采购人代表、记录人等有关人员在启封记录上签名确认；</w:t>
      </w:r>
    </w:p>
    <w:p w14:paraId="3587F52C">
      <w:pPr>
        <w:pageBreakBefore w:val="0"/>
        <w:kinsoku/>
        <w:wordWrap/>
        <w:overflowPunct/>
        <w:topLinePunct w:val="0"/>
        <w:bidi w:val="0"/>
        <w:spacing w:line="360" w:lineRule="exact"/>
        <w:ind w:firstLine="420"/>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（5）启封</w:t>
      </w:r>
      <w:r>
        <w:rPr>
          <w:rFonts w:hint="eastAsia" w:ascii="宋体" w:hAnsi="宋体" w:eastAsia="宋体" w:cs="宋体"/>
          <w:sz w:val="18"/>
          <w:szCs w:val="18"/>
          <w:highlight w:val="none"/>
        </w:rPr>
        <w:t>结束</w:t>
      </w:r>
      <w:r>
        <w:rPr>
          <w:rFonts w:hint="eastAsia" w:ascii="宋体" w:hAnsi="宋体" w:eastAsia="宋体" w:cs="宋体"/>
          <w:bCs/>
          <w:sz w:val="18"/>
          <w:szCs w:val="18"/>
          <w:highlight w:val="none"/>
        </w:rPr>
        <w:t>。</w:t>
      </w:r>
    </w:p>
    <w:p w14:paraId="0FB392A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bCs/>
          <w:sz w:val="18"/>
          <w:szCs w:val="18"/>
          <w:highlight w:val="none"/>
        </w:rPr>
        <w:t>5.2.</w:t>
      </w:r>
      <w:r>
        <w:rPr>
          <w:rFonts w:hint="eastAsia" w:ascii="宋体" w:hAnsi="宋体" w:eastAsia="宋体" w:cs="宋体"/>
          <w:bCs/>
          <w:sz w:val="18"/>
          <w:szCs w:val="18"/>
          <w:highlight w:val="none"/>
          <w:lang w:val="en-US" w:eastAsia="zh-CN"/>
        </w:rPr>
        <w:t>2</w:t>
      </w:r>
      <w:r>
        <w:rPr>
          <w:rFonts w:hint="eastAsia" w:ascii="宋体" w:hAnsi="宋体" w:eastAsia="宋体" w:cs="宋体"/>
          <w:sz w:val="18"/>
          <w:szCs w:val="18"/>
          <w:highlight w:val="none"/>
        </w:rPr>
        <w:t>供应商在启封过程中有疑问的，应当在现场提出，采购人将当场作出答复。</w:t>
      </w:r>
    </w:p>
    <w:p w14:paraId="5E131D9B">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108" w:name="_Toc26656972"/>
      <w:bookmarkStart w:id="109" w:name="_Toc14201241"/>
      <w:bookmarkStart w:id="110" w:name="_Toc9067725"/>
      <w:r>
        <w:rPr>
          <w:rFonts w:hint="eastAsia" w:ascii="宋体" w:hAnsi="宋体" w:eastAsia="宋体" w:cs="宋体"/>
          <w:b/>
          <w:bCs w:val="0"/>
          <w:sz w:val="18"/>
          <w:szCs w:val="18"/>
          <w:highlight w:val="none"/>
        </w:rPr>
        <w:t>6. 评</w:t>
      </w:r>
      <w:bookmarkEnd w:id="108"/>
      <w:bookmarkEnd w:id="109"/>
      <w:bookmarkEnd w:id="110"/>
      <w:r>
        <w:rPr>
          <w:rFonts w:hint="eastAsia" w:ascii="宋体" w:hAnsi="宋体" w:eastAsia="宋体" w:cs="宋体"/>
          <w:b/>
          <w:bCs w:val="0"/>
          <w:sz w:val="18"/>
          <w:szCs w:val="18"/>
          <w:highlight w:val="none"/>
        </w:rPr>
        <w:t>审</w:t>
      </w:r>
    </w:p>
    <w:p w14:paraId="71589797">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111" w:name="_Toc14201242"/>
      <w:bookmarkStart w:id="112" w:name="_Toc26656973"/>
      <w:r>
        <w:rPr>
          <w:rFonts w:hint="eastAsia" w:ascii="宋体" w:hAnsi="宋体" w:eastAsia="宋体" w:cs="宋体"/>
          <w:b/>
          <w:bCs w:val="0"/>
          <w:sz w:val="18"/>
          <w:szCs w:val="18"/>
          <w:highlight w:val="none"/>
        </w:rPr>
        <w:t>6.1</w:t>
      </w:r>
      <w:bookmarkEnd w:id="111"/>
      <w:bookmarkEnd w:id="112"/>
      <w:r>
        <w:rPr>
          <w:rFonts w:hint="eastAsia" w:ascii="宋体" w:hAnsi="宋体" w:eastAsia="宋体" w:cs="宋体"/>
          <w:b/>
          <w:bCs w:val="0"/>
          <w:sz w:val="18"/>
          <w:szCs w:val="18"/>
          <w:highlight w:val="none"/>
        </w:rPr>
        <w:t>评审小组</w:t>
      </w:r>
    </w:p>
    <w:p w14:paraId="6D5B158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评审由采购人自行组建的评审小组负责。评审小组人数：3~7人（单数）。</w:t>
      </w:r>
    </w:p>
    <w:p w14:paraId="07BA3974">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113" w:name="_Toc14201244"/>
      <w:bookmarkStart w:id="114" w:name="_Toc26656975"/>
      <w:r>
        <w:rPr>
          <w:rFonts w:hint="eastAsia" w:ascii="宋体" w:hAnsi="宋体" w:eastAsia="宋体" w:cs="宋体"/>
          <w:b/>
          <w:bCs w:val="0"/>
          <w:sz w:val="18"/>
          <w:szCs w:val="18"/>
          <w:highlight w:val="none"/>
        </w:rPr>
        <w:t>6.2评</w:t>
      </w:r>
      <w:bookmarkEnd w:id="113"/>
      <w:bookmarkEnd w:id="114"/>
      <w:r>
        <w:rPr>
          <w:rFonts w:hint="eastAsia" w:ascii="宋体" w:hAnsi="宋体" w:eastAsia="宋体" w:cs="宋体"/>
          <w:b/>
          <w:bCs w:val="0"/>
          <w:sz w:val="18"/>
          <w:szCs w:val="18"/>
          <w:highlight w:val="none"/>
        </w:rPr>
        <w:t>审</w:t>
      </w:r>
    </w:p>
    <w:p w14:paraId="3BAD329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6.2.1评审小组按照第三章“评审办法”规定的方法、评审因素、标准和程序对响应文件进行评审。</w:t>
      </w:r>
    </w:p>
    <w:p w14:paraId="1781B90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6.2.2若递交响应文件的供应商数量达到3家及以上，但仅有2家供应商通过初步评审，经评审小组评判此2家供应商仍具有竞争性，即可以继续进行评审。</w:t>
      </w:r>
    </w:p>
    <w:p w14:paraId="600D862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color w:val="auto"/>
          <w:sz w:val="18"/>
          <w:szCs w:val="18"/>
          <w:highlight w:val="none"/>
          <w:lang w:val="en-US" w:eastAsia="zh-CN"/>
        </w:rPr>
        <w:t>6.2.3</w:t>
      </w:r>
      <w:r>
        <w:rPr>
          <w:rFonts w:hint="eastAsia" w:ascii="宋体" w:hAnsi="宋体" w:eastAsia="宋体" w:cs="宋体"/>
          <w:sz w:val="18"/>
          <w:szCs w:val="18"/>
          <w:highlight w:val="none"/>
        </w:rPr>
        <w:t>评审完成后，评审小组应向采购人提交书面评审报告和成交候选人名单。评审小组推荐成交候选人的人数为：3人（如不足3人，可以按实际数量推荐）。</w:t>
      </w:r>
    </w:p>
    <w:p w14:paraId="20D88751">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115" w:name="_Toc9067726"/>
      <w:bookmarkStart w:id="116" w:name="_Toc14201245"/>
      <w:bookmarkStart w:id="117" w:name="_Toc26656976"/>
      <w:r>
        <w:rPr>
          <w:rFonts w:hint="eastAsia" w:ascii="宋体" w:hAnsi="宋体" w:eastAsia="宋体" w:cs="宋体"/>
          <w:b/>
          <w:bCs w:val="0"/>
          <w:sz w:val="18"/>
          <w:szCs w:val="18"/>
          <w:highlight w:val="none"/>
        </w:rPr>
        <w:t>7. 合同授予</w:t>
      </w:r>
      <w:bookmarkEnd w:id="115"/>
      <w:bookmarkEnd w:id="116"/>
      <w:bookmarkEnd w:id="117"/>
    </w:p>
    <w:p w14:paraId="4C2C29B2">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118" w:name="_Toc26656979"/>
      <w:bookmarkStart w:id="119" w:name="_Toc14201248"/>
      <w:r>
        <w:rPr>
          <w:rFonts w:hint="eastAsia" w:ascii="宋体" w:hAnsi="宋体" w:eastAsia="宋体" w:cs="宋体"/>
          <w:b/>
          <w:bCs w:val="0"/>
          <w:sz w:val="18"/>
          <w:szCs w:val="18"/>
          <w:highlight w:val="none"/>
        </w:rPr>
        <w:t>7.1成交候选人公示</w:t>
      </w:r>
    </w:p>
    <w:p w14:paraId="5BF9FF5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采用公开询比方式采购的项目，成交候选人将于</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安徽安联高速公路有限公司   </w:t>
      </w:r>
      <w:r>
        <w:rPr>
          <w:rFonts w:hint="eastAsia" w:ascii="宋体" w:hAnsi="宋体" w:eastAsia="宋体" w:cs="宋体"/>
          <w:sz w:val="18"/>
          <w:szCs w:val="18"/>
          <w:highlight w:val="none"/>
          <w:u w:val="single"/>
        </w:rPr>
        <w:t>（网址</w:t>
      </w:r>
      <w:r>
        <w:rPr>
          <w:rFonts w:hint="eastAsia" w:ascii="宋体" w:hAnsi="宋体" w:eastAsia="宋体" w:cs="宋体"/>
          <w:sz w:val="18"/>
          <w:szCs w:val="18"/>
          <w:highlight w:val="none"/>
          <w:u w:val="single"/>
          <w:lang w:eastAsia="zh-CN"/>
        </w:rPr>
        <w:t>：http://www.ahanlian.com/</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公示，公示期不得少于2日。</w:t>
      </w:r>
    </w:p>
    <w:p w14:paraId="049B2C79">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7.2评审结果异议</w:t>
      </w:r>
    </w:p>
    <w:p w14:paraId="55623B4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供应商或其他利害关系人对评审结果有异议的，应在成交候选人公示期间提出。</w:t>
      </w:r>
    </w:p>
    <w:p w14:paraId="1FD29784">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7.</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成交候选人履约能力审查</w:t>
      </w:r>
      <w:bookmarkEnd w:id="118"/>
      <w:bookmarkEnd w:id="119"/>
    </w:p>
    <w:p w14:paraId="49AA8E4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成交候选人的经营、财务状况发生较大变化或存在违法行为，采购人认为可能影响其履约能力的，将在发出成交通知书前提请原评审小组按照询比文件规定的标准和方法进行审查确认。</w:t>
      </w:r>
    </w:p>
    <w:p w14:paraId="77AAE2D9">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sz w:val="18"/>
          <w:szCs w:val="18"/>
          <w:highlight w:val="none"/>
        </w:rPr>
      </w:pPr>
      <w:bookmarkStart w:id="120" w:name="_Toc26656981"/>
      <w:bookmarkStart w:id="121" w:name="_Toc14201250"/>
      <w:r>
        <w:rPr>
          <w:rFonts w:hint="eastAsia" w:ascii="宋体" w:hAnsi="宋体" w:eastAsia="宋体" w:cs="宋体"/>
          <w:b/>
          <w:bCs/>
          <w:sz w:val="18"/>
          <w:szCs w:val="18"/>
          <w:highlight w:val="none"/>
        </w:rPr>
        <w:t>7.</w:t>
      </w:r>
      <w:bookmarkEnd w:id="120"/>
      <w:bookmarkEnd w:id="121"/>
      <w:bookmarkStart w:id="122" w:name="_Toc26656983"/>
      <w:bookmarkStart w:id="123" w:name="_Toc14201252"/>
      <w:r>
        <w:rPr>
          <w:rFonts w:hint="eastAsia" w:ascii="宋体" w:hAnsi="宋体" w:eastAsia="宋体" w:cs="宋体"/>
          <w:b/>
          <w:bCs/>
          <w:sz w:val="18"/>
          <w:szCs w:val="18"/>
          <w:highlight w:val="none"/>
          <w:lang w:val="en-US" w:eastAsia="zh-CN"/>
        </w:rPr>
        <w:t>4</w:t>
      </w:r>
      <w:r>
        <w:rPr>
          <w:rFonts w:hint="eastAsia" w:ascii="宋体" w:hAnsi="宋体" w:eastAsia="宋体" w:cs="宋体"/>
          <w:b/>
          <w:bCs/>
          <w:sz w:val="18"/>
          <w:szCs w:val="18"/>
          <w:highlight w:val="none"/>
        </w:rPr>
        <w:t>履约保证金</w:t>
      </w:r>
      <w:bookmarkEnd w:id="122"/>
      <w:bookmarkEnd w:id="123"/>
    </w:p>
    <w:p w14:paraId="5585465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.1在签订合同前，成交人应向采购人提交履约保证金。履约保证金的金额及形式见供应商须知前附表。</w:t>
      </w:r>
    </w:p>
    <w:p w14:paraId="60611E1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.2 成交人不能按本章第7.4.1项要求提交履约保证金的，视为放弃成交候选人，其响应保证金不予退还，给采购人造成的损失超过响应保证金数额的，成交人还应当对超过部分予以赔偿。</w:t>
      </w:r>
    </w:p>
    <w:p w14:paraId="6B7BD08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7.4.3 履约保证金的退还：见供应商须知前附表。</w:t>
      </w:r>
    </w:p>
    <w:p w14:paraId="01D44DC7">
      <w:pPr>
        <w:keepNext/>
        <w:keepLines/>
        <w:pageBreakBefore w:val="0"/>
        <w:kinsoku/>
        <w:wordWrap/>
        <w:overflowPunct/>
        <w:topLinePunct w:val="0"/>
        <w:bidi w:val="0"/>
        <w:spacing w:line="360" w:lineRule="exact"/>
        <w:ind w:firstLine="360" w:firstLineChars="200"/>
        <w:textAlignment w:val="auto"/>
        <w:outlineLvl w:val="2"/>
        <w:rPr>
          <w:rFonts w:hint="eastAsia" w:ascii="宋体" w:hAnsi="宋体" w:eastAsia="宋体" w:cs="宋体"/>
          <w:b/>
          <w:bCs w:val="0"/>
          <w:sz w:val="18"/>
          <w:szCs w:val="18"/>
          <w:highlight w:val="none"/>
        </w:rPr>
      </w:pPr>
      <w:bookmarkStart w:id="124" w:name="_Toc26656984"/>
      <w:bookmarkStart w:id="125" w:name="_Toc14201253"/>
      <w:r>
        <w:rPr>
          <w:rFonts w:hint="eastAsia" w:ascii="宋体" w:hAnsi="宋体" w:eastAsia="宋体" w:cs="宋体"/>
          <w:b/>
          <w:bCs w:val="0"/>
          <w:sz w:val="18"/>
          <w:szCs w:val="18"/>
          <w:highlight w:val="none"/>
        </w:rPr>
        <w:t>7.</w:t>
      </w:r>
      <w:r>
        <w:rPr>
          <w:rFonts w:hint="eastAsia" w:ascii="宋体" w:hAnsi="宋体" w:eastAsia="宋体" w:cs="宋体"/>
          <w:b/>
          <w:bCs w:val="0"/>
          <w:sz w:val="18"/>
          <w:szCs w:val="18"/>
          <w:highlight w:val="none"/>
          <w:lang w:val="en-US" w:eastAsia="zh-CN"/>
        </w:rPr>
        <w:t>5</w:t>
      </w:r>
      <w:r>
        <w:rPr>
          <w:rFonts w:hint="eastAsia" w:ascii="宋体" w:hAnsi="宋体" w:eastAsia="宋体" w:cs="宋体"/>
          <w:b/>
          <w:bCs w:val="0"/>
          <w:sz w:val="18"/>
          <w:szCs w:val="18"/>
          <w:highlight w:val="none"/>
        </w:rPr>
        <w:t>签订合同</w:t>
      </w:r>
      <w:bookmarkEnd w:id="124"/>
      <w:bookmarkEnd w:id="125"/>
    </w:p>
    <w:p w14:paraId="729BA1E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4FA05460">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126" w:name="_Toc26656988"/>
      <w:bookmarkStart w:id="127" w:name="_Toc9067727"/>
      <w:bookmarkStart w:id="128" w:name="_Toc14201257"/>
      <w:r>
        <w:rPr>
          <w:rFonts w:hint="eastAsia" w:ascii="宋体" w:hAnsi="宋体" w:eastAsia="宋体" w:cs="宋体"/>
          <w:b/>
          <w:bCs w:val="0"/>
          <w:sz w:val="18"/>
          <w:szCs w:val="18"/>
          <w:highlight w:val="none"/>
        </w:rPr>
        <w:t>8. 纪律和监督</w:t>
      </w:r>
      <w:bookmarkEnd w:id="126"/>
      <w:bookmarkEnd w:id="127"/>
      <w:bookmarkEnd w:id="128"/>
    </w:p>
    <w:p w14:paraId="0DA17876">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E43A288">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129" w:name="_Toc14201262"/>
      <w:bookmarkStart w:id="130" w:name="_Toc26656993"/>
      <w:r>
        <w:rPr>
          <w:rFonts w:hint="eastAsia" w:ascii="宋体" w:hAnsi="宋体" w:eastAsia="宋体" w:cs="宋体"/>
          <w:b/>
          <w:bCs w:val="0"/>
          <w:sz w:val="18"/>
          <w:szCs w:val="18"/>
          <w:highlight w:val="none"/>
        </w:rPr>
        <w:t>9 投诉</w:t>
      </w:r>
      <w:bookmarkEnd w:id="129"/>
      <w:bookmarkEnd w:id="130"/>
    </w:p>
    <w:p w14:paraId="355EAE70">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9.1 供应商或其他利害关系人认为询比活动不符合法律法规规定的，可以自知道或应当知道之日起10日内向有关监督部门投诉。投诉应有明确的请求和必要的证明材料。</w:t>
      </w:r>
    </w:p>
    <w:p w14:paraId="40A2D5C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9.2 监督部门及联系方式：</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安联公司招标采购部0551-63731350</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rPr>
        <w:t>。</w:t>
      </w:r>
    </w:p>
    <w:p w14:paraId="6BB77237">
      <w:pPr>
        <w:keepNext/>
        <w:keepLines/>
        <w:pageBreakBefore w:val="0"/>
        <w:kinsoku/>
        <w:wordWrap/>
        <w:overflowPunct/>
        <w:topLinePunct w:val="0"/>
        <w:bidi w:val="0"/>
        <w:spacing w:line="360" w:lineRule="exact"/>
        <w:ind w:firstLine="360" w:firstLineChars="200"/>
        <w:textAlignment w:val="auto"/>
        <w:outlineLvl w:val="1"/>
        <w:rPr>
          <w:rFonts w:hint="eastAsia" w:ascii="宋体" w:hAnsi="宋体" w:eastAsia="宋体" w:cs="宋体"/>
          <w:b/>
          <w:bCs w:val="0"/>
          <w:sz w:val="18"/>
          <w:szCs w:val="18"/>
          <w:highlight w:val="none"/>
        </w:rPr>
      </w:pPr>
      <w:bookmarkStart w:id="131" w:name="_Toc9067731"/>
      <w:bookmarkStart w:id="132" w:name="_Toc14201263"/>
      <w:bookmarkStart w:id="133" w:name="_Toc26656994"/>
      <w:r>
        <w:rPr>
          <w:rFonts w:hint="eastAsia" w:ascii="宋体" w:hAnsi="宋体" w:eastAsia="宋体" w:cs="宋体"/>
          <w:b/>
          <w:bCs w:val="0"/>
          <w:sz w:val="18"/>
          <w:szCs w:val="18"/>
          <w:highlight w:val="none"/>
        </w:rPr>
        <w:t>1</w:t>
      </w:r>
      <w:r>
        <w:rPr>
          <w:rFonts w:hint="eastAsia" w:ascii="宋体" w:hAnsi="宋体" w:eastAsia="宋体" w:cs="宋体"/>
          <w:b/>
          <w:bCs w:val="0"/>
          <w:sz w:val="18"/>
          <w:szCs w:val="18"/>
          <w:highlight w:val="none"/>
          <w:lang w:val="en-US" w:eastAsia="zh-CN"/>
        </w:rPr>
        <w:t>0</w:t>
      </w:r>
      <w:r>
        <w:rPr>
          <w:rFonts w:hint="eastAsia" w:ascii="宋体" w:hAnsi="宋体" w:eastAsia="宋体" w:cs="宋体"/>
          <w:b/>
          <w:bCs w:val="0"/>
          <w:sz w:val="18"/>
          <w:szCs w:val="18"/>
          <w:highlight w:val="none"/>
        </w:rPr>
        <w:t>. 需要补充的其他内容</w:t>
      </w:r>
      <w:bookmarkEnd w:id="131"/>
      <w:bookmarkEnd w:id="132"/>
      <w:bookmarkEnd w:id="133"/>
    </w:p>
    <w:p w14:paraId="64BBFBA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需要补充的其他内容：</w:t>
      </w:r>
      <w:r>
        <w:rPr>
          <w:rFonts w:hint="eastAsia" w:ascii="宋体" w:hAnsi="宋体" w:eastAsia="宋体" w:cs="宋体"/>
          <w:sz w:val="18"/>
          <w:szCs w:val="18"/>
          <w:highlight w:val="none"/>
          <w:u w:val="single"/>
        </w:rPr>
        <w:t xml:space="preserve">  供应商最多委派1名响应人代表（包括授权代理人在内）携带本人身份证到现场参加开启响应文件  </w:t>
      </w:r>
      <w:r>
        <w:rPr>
          <w:rFonts w:hint="eastAsia" w:ascii="宋体" w:hAnsi="宋体" w:eastAsia="宋体" w:cs="宋体"/>
          <w:sz w:val="18"/>
          <w:szCs w:val="18"/>
          <w:highlight w:val="none"/>
        </w:rPr>
        <w:t>。</w:t>
      </w:r>
    </w:p>
    <w:p w14:paraId="7ED20E0B">
      <w:pPr>
        <w:pStyle w:val="2"/>
        <w:numPr>
          <w:ilvl w:val="0"/>
          <w:numId w:val="0"/>
        </w:numPr>
        <w:spacing w:before="312" w:after="312"/>
        <w:rPr>
          <w:rFonts w:ascii="Times New Roman" w:hAnsi="Times New Roman" w:eastAsia="宋体" w:cs="Times New Roman"/>
          <w:highlight w:val="none"/>
        </w:rPr>
      </w:pPr>
      <w:r>
        <w:rPr>
          <w:rFonts w:hint="eastAsia" w:ascii="宋体" w:hAnsi="宋体" w:eastAsia="宋体" w:cs="宋体"/>
          <w:sz w:val="18"/>
          <w:szCs w:val="18"/>
          <w:highlight w:val="none"/>
        </w:rPr>
        <w:br w:type="page"/>
      </w:r>
      <w:bookmarkStart w:id="134" w:name="_Toc29272_WPSOffice_Level1"/>
      <w:r>
        <w:rPr>
          <w:rFonts w:hint="eastAsia" w:ascii="Times New Roman" w:hAnsi="Times New Roman" w:eastAsia="宋体" w:cs="Times New Roman"/>
          <w:highlight w:val="none"/>
        </w:rPr>
        <w:t xml:space="preserve">第三章 </w:t>
      </w:r>
      <w:r>
        <w:rPr>
          <w:rFonts w:ascii="Times New Roman" w:hAnsi="Times New Roman" w:eastAsia="宋体" w:cs="Times New Roman"/>
          <w:highlight w:val="none"/>
        </w:rPr>
        <w:t>评审办法</w:t>
      </w:r>
      <w:bookmarkEnd w:id="134"/>
    </w:p>
    <w:p w14:paraId="641D3175">
      <w:pPr>
        <w:pStyle w:val="2"/>
        <w:numPr>
          <w:ilvl w:val="0"/>
          <w:numId w:val="0"/>
        </w:numPr>
        <w:spacing w:beforeLines="0" w:afterLines="0" w:line="360" w:lineRule="exact"/>
        <w:jc w:val="both"/>
        <w:rPr>
          <w:rFonts w:hint="eastAsia" w:ascii="宋体" w:hAnsi="宋体" w:eastAsia="宋体" w:cs="宋体"/>
          <w:sz w:val="18"/>
          <w:szCs w:val="18"/>
          <w:highlight w:val="none"/>
        </w:rPr>
      </w:pPr>
      <w:r>
        <w:rPr>
          <w:rFonts w:ascii="Times New Roman" w:hAnsi="Times New Roman" w:eastAsia="黑体" w:cs="Times New Roman"/>
          <w:sz w:val="28"/>
          <w:szCs w:val="28"/>
          <w:highlight w:val="none"/>
        </w:rPr>
        <w:t>评审办法前附表</w:t>
      </w:r>
      <w:r>
        <w:rPr>
          <w:rFonts w:hint="eastAsia" w:ascii="Times New Roman" w:hAnsi="Times New Roman" w:eastAsia="黑体" w:cs="Times New Roman"/>
          <w:sz w:val="28"/>
          <w:szCs w:val="28"/>
          <w:highlight w:val="none"/>
        </w:rPr>
        <w:t>（最低价法）</w:t>
      </w:r>
    </w:p>
    <w:tbl>
      <w:tblPr>
        <w:tblStyle w:val="19"/>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1300"/>
        <w:gridCol w:w="1537"/>
        <w:gridCol w:w="4970"/>
      </w:tblGrid>
      <w:tr w14:paraId="2156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2100" w:type="dxa"/>
            <w:gridSpan w:val="2"/>
            <w:vAlign w:val="center"/>
          </w:tcPr>
          <w:p w14:paraId="470F3EA6">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条款号</w:t>
            </w:r>
          </w:p>
        </w:tc>
        <w:tc>
          <w:tcPr>
            <w:tcW w:w="1537" w:type="dxa"/>
            <w:vAlign w:val="center"/>
          </w:tcPr>
          <w:p w14:paraId="1A2F27AA">
            <w:pPr>
              <w:keepNext w:val="0"/>
              <w:keepLines w:val="0"/>
              <w:pageBreakBefore w:val="0"/>
              <w:widowControl/>
              <w:kinsoku/>
              <w:wordWrap/>
              <w:overflowPunct/>
              <w:topLinePunct w:val="0"/>
              <w:autoSpaceDE/>
              <w:autoSpaceDN/>
              <w:bidi w:val="0"/>
              <w:spacing w:line="240" w:lineRule="exact"/>
              <w:ind w:firstLine="90" w:firstLineChars="50"/>
              <w:jc w:val="center"/>
              <w:textAlignment w:val="auto"/>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评审因素</w:t>
            </w:r>
          </w:p>
        </w:tc>
        <w:tc>
          <w:tcPr>
            <w:tcW w:w="4970" w:type="dxa"/>
            <w:vAlign w:val="center"/>
          </w:tcPr>
          <w:p w14:paraId="77910220">
            <w:pPr>
              <w:keepNext w:val="0"/>
              <w:keepLines w:val="0"/>
              <w:pageBreakBefore w:val="0"/>
              <w:widowControl/>
              <w:kinsoku/>
              <w:wordWrap/>
              <w:overflowPunct/>
              <w:topLinePunct w:val="0"/>
              <w:autoSpaceDE/>
              <w:autoSpaceDN/>
              <w:bidi w:val="0"/>
              <w:spacing w:line="240" w:lineRule="exact"/>
              <w:ind w:firstLine="90" w:firstLineChars="50"/>
              <w:jc w:val="center"/>
              <w:textAlignment w:val="auto"/>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评审标准</w:t>
            </w:r>
          </w:p>
        </w:tc>
      </w:tr>
      <w:tr w14:paraId="3D45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0" w:type="dxa"/>
            <w:vAlign w:val="center"/>
          </w:tcPr>
          <w:p w14:paraId="09F8520E">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300" w:type="dxa"/>
            <w:vAlign w:val="center"/>
          </w:tcPr>
          <w:p w14:paraId="271E8492">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评审方法</w:t>
            </w:r>
          </w:p>
        </w:tc>
        <w:tc>
          <w:tcPr>
            <w:tcW w:w="1537" w:type="dxa"/>
            <w:tcMar>
              <w:left w:w="75" w:type="dxa"/>
            </w:tcMar>
            <w:vAlign w:val="center"/>
          </w:tcPr>
          <w:p w14:paraId="12DE4D71">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成交候选人</w:t>
            </w:r>
          </w:p>
          <w:p w14:paraId="7EB15DA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排序方法</w:t>
            </w:r>
          </w:p>
        </w:tc>
        <w:tc>
          <w:tcPr>
            <w:tcW w:w="4970" w:type="dxa"/>
            <w:tcMar>
              <w:left w:w="75" w:type="dxa"/>
            </w:tcMar>
            <w:vAlign w:val="center"/>
          </w:tcPr>
          <w:p w14:paraId="34D2124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按评审价由低到高的顺序依次推荐成交候选人：</w:t>
            </w:r>
          </w:p>
          <w:p w14:paraId="03A4764F">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eastAsia="zh-CN"/>
              </w:rPr>
              <w:t>☑</w:t>
            </w:r>
            <w:r>
              <w:rPr>
                <w:rFonts w:hint="eastAsia" w:ascii="宋体" w:hAnsi="宋体" w:eastAsia="宋体" w:cs="宋体"/>
                <w:sz w:val="18"/>
                <w:szCs w:val="18"/>
                <w:highlight w:val="none"/>
              </w:rPr>
              <w:t>评审价相等时，以递交响应文件在前的优先。</w:t>
            </w:r>
          </w:p>
          <w:p w14:paraId="78ACDC97">
            <w:pPr>
              <w:pStyle w:val="9"/>
              <w:keepNext w:val="0"/>
              <w:keepLines w:val="0"/>
              <w:pageBreakBefore w:val="0"/>
              <w:kinsoku/>
              <w:wordWrap/>
              <w:overflowPunct/>
              <w:topLinePunct w:val="0"/>
              <w:autoSpaceDE/>
              <w:autoSpaceDN/>
              <w:bidi w:val="0"/>
              <w:adjustRightInd w:val="0"/>
              <w:snapToGrid w:val="0"/>
              <w:spacing w:after="0" w:line="240" w:lineRule="exact"/>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rPr>
              <w:t>□其他方法___________________________</w:t>
            </w:r>
          </w:p>
        </w:tc>
      </w:tr>
      <w:tr w14:paraId="57B2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2100" w:type="dxa"/>
            <w:gridSpan w:val="2"/>
            <w:vAlign w:val="center"/>
          </w:tcPr>
          <w:p w14:paraId="7F5525C9">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条款号</w:t>
            </w:r>
          </w:p>
        </w:tc>
        <w:tc>
          <w:tcPr>
            <w:tcW w:w="1537" w:type="dxa"/>
            <w:vAlign w:val="center"/>
          </w:tcPr>
          <w:p w14:paraId="78E32B5B">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评审因素</w:t>
            </w:r>
          </w:p>
        </w:tc>
        <w:tc>
          <w:tcPr>
            <w:tcW w:w="4970" w:type="dxa"/>
            <w:vAlign w:val="center"/>
          </w:tcPr>
          <w:p w14:paraId="003B15F8">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评审标准</w:t>
            </w:r>
          </w:p>
        </w:tc>
      </w:tr>
      <w:tr w14:paraId="1652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restart"/>
            <w:vAlign w:val="center"/>
          </w:tcPr>
          <w:p w14:paraId="7B83D76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2.1.1</w:t>
            </w:r>
          </w:p>
        </w:tc>
        <w:tc>
          <w:tcPr>
            <w:tcW w:w="1300" w:type="dxa"/>
            <w:vMerge w:val="restart"/>
            <w:vAlign w:val="center"/>
          </w:tcPr>
          <w:p w14:paraId="69A235A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形式评审标准</w:t>
            </w:r>
          </w:p>
        </w:tc>
        <w:tc>
          <w:tcPr>
            <w:tcW w:w="1537" w:type="dxa"/>
            <w:tcMar>
              <w:left w:w="75" w:type="dxa"/>
            </w:tcMar>
            <w:vAlign w:val="center"/>
          </w:tcPr>
          <w:p w14:paraId="02E4AA52">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供应商名称</w:t>
            </w:r>
          </w:p>
        </w:tc>
        <w:tc>
          <w:tcPr>
            <w:tcW w:w="4970" w:type="dxa"/>
            <w:tcMar>
              <w:left w:w="75" w:type="dxa"/>
            </w:tcMar>
            <w:vAlign w:val="center"/>
          </w:tcPr>
          <w:p w14:paraId="0684BCA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与营业执照、资质证书（如有）一致</w:t>
            </w:r>
          </w:p>
        </w:tc>
      </w:tr>
      <w:tr w14:paraId="5EAA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1B5B5EF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3F75862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5750EC69">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响应文件格式</w:t>
            </w:r>
          </w:p>
        </w:tc>
        <w:tc>
          <w:tcPr>
            <w:tcW w:w="4970" w:type="dxa"/>
            <w:tcMar>
              <w:left w:w="75" w:type="dxa"/>
            </w:tcMar>
            <w:vAlign w:val="center"/>
          </w:tcPr>
          <w:p w14:paraId="2FCBB2F8">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符合第</w:t>
            </w:r>
            <w:r>
              <w:rPr>
                <w:rFonts w:hint="eastAsia" w:ascii="宋体" w:hAnsi="宋体" w:cs="宋体"/>
                <w:kern w:val="0"/>
                <w:sz w:val="18"/>
                <w:szCs w:val="18"/>
                <w:highlight w:val="none"/>
                <w:lang w:val="en-US" w:eastAsia="zh-CN"/>
              </w:rPr>
              <w:t>五</w:t>
            </w:r>
            <w:r>
              <w:rPr>
                <w:rFonts w:hint="eastAsia" w:ascii="宋体" w:hAnsi="宋体" w:eastAsia="宋体" w:cs="宋体"/>
                <w:kern w:val="0"/>
                <w:sz w:val="18"/>
                <w:szCs w:val="18"/>
                <w:highlight w:val="none"/>
              </w:rPr>
              <w:t>章“响应文件格式”的规定，关键字迹清晰可辨</w:t>
            </w:r>
          </w:p>
        </w:tc>
      </w:tr>
      <w:tr w14:paraId="015C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40B0914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61E3A79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77927152">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签名盖章</w:t>
            </w:r>
          </w:p>
        </w:tc>
        <w:tc>
          <w:tcPr>
            <w:tcW w:w="4970" w:type="dxa"/>
            <w:tcMar>
              <w:left w:w="75" w:type="dxa"/>
            </w:tcMar>
            <w:vAlign w:val="center"/>
          </w:tcPr>
          <w:p w14:paraId="28C8AF2A">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bCs/>
                <w:kern w:val="0"/>
                <w:sz w:val="18"/>
                <w:szCs w:val="18"/>
                <w:highlight w:val="none"/>
              </w:rPr>
              <w:t>符合第二章“供应商须知”第3.6.3项的规定</w:t>
            </w:r>
          </w:p>
        </w:tc>
      </w:tr>
      <w:tr w14:paraId="1373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800" w:type="dxa"/>
            <w:vAlign w:val="center"/>
          </w:tcPr>
          <w:p w14:paraId="4904A42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2.1.2</w:t>
            </w:r>
          </w:p>
        </w:tc>
        <w:tc>
          <w:tcPr>
            <w:tcW w:w="1300" w:type="dxa"/>
            <w:vAlign w:val="center"/>
          </w:tcPr>
          <w:p w14:paraId="65892F19">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资格评审标准</w:t>
            </w:r>
          </w:p>
        </w:tc>
        <w:tc>
          <w:tcPr>
            <w:tcW w:w="1537" w:type="dxa"/>
            <w:tcMar>
              <w:left w:w="75" w:type="dxa"/>
            </w:tcMar>
            <w:vAlign w:val="center"/>
          </w:tcPr>
          <w:p w14:paraId="45CE9041">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资质条件、能力、信誉</w:t>
            </w:r>
          </w:p>
        </w:tc>
        <w:tc>
          <w:tcPr>
            <w:tcW w:w="4970" w:type="dxa"/>
            <w:tcMar>
              <w:left w:w="75" w:type="dxa"/>
            </w:tcMar>
            <w:vAlign w:val="center"/>
          </w:tcPr>
          <w:p w14:paraId="211FB646">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符合第二章“供应商须知”第1.2.1项规定</w:t>
            </w:r>
          </w:p>
        </w:tc>
      </w:tr>
      <w:tr w14:paraId="73C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restart"/>
            <w:vAlign w:val="center"/>
          </w:tcPr>
          <w:p w14:paraId="733EE4A1">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2.1.3</w:t>
            </w:r>
          </w:p>
        </w:tc>
        <w:tc>
          <w:tcPr>
            <w:tcW w:w="1300" w:type="dxa"/>
            <w:vMerge w:val="restart"/>
            <w:vAlign w:val="center"/>
          </w:tcPr>
          <w:p w14:paraId="3E2A738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响应性评审标准</w:t>
            </w:r>
          </w:p>
        </w:tc>
        <w:tc>
          <w:tcPr>
            <w:tcW w:w="1537" w:type="dxa"/>
            <w:tcMar>
              <w:left w:w="75" w:type="dxa"/>
            </w:tcMar>
            <w:vAlign w:val="center"/>
          </w:tcPr>
          <w:p w14:paraId="5F051412">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报价内容</w:t>
            </w:r>
          </w:p>
        </w:tc>
        <w:tc>
          <w:tcPr>
            <w:tcW w:w="4970" w:type="dxa"/>
            <w:tcMar>
              <w:left w:w="75" w:type="dxa"/>
            </w:tcMar>
            <w:vAlign w:val="center"/>
          </w:tcPr>
          <w:p w14:paraId="281A580F">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rPr>
              <w:t>符合第一章“采购公告”规定</w:t>
            </w:r>
          </w:p>
        </w:tc>
      </w:tr>
      <w:tr w14:paraId="006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67202B61">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0DF303A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604DD4AE">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交货期</w:t>
            </w:r>
          </w:p>
        </w:tc>
        <w:tc>
          <w:tcPr>
            <w:tcW w:w="4970" w:type="dxa"/>
            <w:tcMar>
              <w:left w:w="75" w:type="dxa"/>
            </w:tcMar>
            <w:vAlign w:val="center"/>
          </w:tcPr>
          <w:p w14:paraId="28EAC00B">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rPr>
              <w:t>符合第一章“采购公告”规定</w:t>
            </w:r>
          </w:p>
        </w:tc>
      </w:tr>
      <w:tr w14:paraId="0BB5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0017282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2AFD87B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237C4CED">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质量要求</w:t>
            </w:r>
          </w:p>
        </w:tc>
        <w:tc>
          <w:tcPr>
            <w:tcW w:w="4970" w:type="dxa"/>
            <w:tcMar>
              <w:left w:w="75" w:type="dxa"/>
            </w:tcMar>
            <w:vAlign w:val="center"/>
          </w:tcPr>
          <w:p w14:paraId="64736451">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符合第二章“供应商须知”第1.1项规定</w:t>
            </w:r>
          </w:p>
        </w:tc>
      </w:tr>
      <w:tr w14:paraId="3A4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0ED06BE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63DCA6C9">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39309FDF">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响应有效期</w:t>
            </w:r>
          </w:p>
        </w:tc>
        <w:tc>
          <w:tcPr>
            <w:tcW w:w="4970" w:type="dxa"/>
            <w:tcMar>
              <w:left w:w="75" w:type="dxa"/>
            </w:tcMar>
            <w:vAlign w:val="center"/>
          </w:tcPr>
          <w:p w14:paraId="3CA4F785">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符合第二章“供应商须知”第3.3.1项规定</w:t>
            </w:r>
          </w:p>
        </w:tc>
      </w:tr>
      <w:tr w14:paraId="7328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0FEDE32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2994BE7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18B3ACBD">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响应保证金</w:t>
            </w:r>
          </w:p>
        </w:tc>
        <w:tc>
          <w:tcPr>
            <w:tcW w:w="4970" w:type="dxa"/>
            <w:tcMar>
              <w:left w:w="75" w:type="dxa"/>
            </w:tcMar>
            <w:vAlign w:val="center"/>
          </w:tcPr>
          <w:p w14:paraId="5A2A1DDD">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符合第二章“供应商须知”第3.4.1项规定</w:t>
            </w:r>
          </w:p>
        </w:tc>
      </w:tr>
      <w:tr w14:paraId="54E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57D12C3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43EF24E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22A94698">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权利义务</w:t>
            </w:r>
          </w:p>
        </w:tc>
        <w:tc>
          <w:tcPr>
            <w:tcW w:w="4970" w:type="dxa"/>
            <w:tcMar>
              <w:left w:w="75" w:type="dxa"/>
            </w:tcMar>
            <w:vAlign w:val="center"/>
          </w:tcPr>
          <w:p w14:paraId="5DD0A91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bCs/>
                <w:kern w:val="0"/>
                <w:sz w:val="18"/>
                <w:szCs w:val="18"/>
                <w:highlight w:val="none"/>
              </w:rPr>
              <w:t>符合询比文件规定</w:t>
            </w:r>
          </w:p>
        </w:tc>
      </w:tr>
      <w:tr w14:paraId="6346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5C4CB37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04C1C44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786E5AA8">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询比文件的获取</w:t>
            </w:r>
          </w:p>
        </w:tc>
        <w:tc>
          <w:tcPr>
            <w:tcW w:w="4970" w:type="dxa"/>
            <w:tcMar>
              <w:left w:w="75" w:type="dxa"/>
            </w:tcMar>
            <w:vAlign w:val="center"/>
          </w:tcPr>
          <w:p w14:paraId="5F06D935">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符合</w:t>
            </w:r>
            <w:r>
              <w:rPr>
                <w:rFonts w:hint="eastAsia" w:ascii="宋体" w:hAnsi="宋体" w:eastAsia="宋体" w:cs="宋体"/>
                <w:sz w:val="18"/>
                <w:szCs w:val="18"/>
                <w:highlight w:val="none"/>
              </w:rPr>
              <w:t>第一章“采购公告”</w:t>
            </w:r>
            <w:r>
              <w:rPr>
                <w:rFonts w:hint="eastAsia" w:ascii="宋体" w:hAnsi="宋体" w:eastAsia="宋体" w:cs="宋体"/>
                <w:bCs/>
                <w:kern w:val="0"/>
                <w:sz w:val="18"/>
                <w:szCs w:val="18"/>
                <w:highlight w:val="none"/>
              </w:rPr>
              <w:t>规定</w:t>
            </w:r>
          </w:p>
        </w:tc>
      </w:tr>
      <w:tr w14:paraId="5FED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800" w:type="dxa"/>
            <w:vMerge w:val="continue"/>
            <w:vAlign w:val="center"/>
          </w:tcPr>
          <w:p w14:paraId="7BFC2656">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067DE3E9">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Borders>
              <w:top w:val="single" w:color="auto" w:sz="4" w:space="0"/>
              <w:left w:val="single" w:color="auto" w:sz="4" w:space="0"/>
              <w:right w:val="single" w:color="auto" w:sz="4" w:space="0"/>
            </w:tcBorders>
            <w:tcMar>
              <w:left w:w="75" w:type="dxa"/>
            </w:tcMar>
            <w:vAlign w:val="center"/>
          </w:tcPr>
          <w:p w14:paraId="3C7B7383">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联合体</w:t>
            </w:r>
          </w:p>
        </w:tc>
        <w:tc>
          <w:tcPr>
            <w:tcW w:w="4970" w:type="dxa"/>
            <w:tcBorders>
              <w:top w:val="outset" w:color="auto" w:sz="6" w:space="0"/>
              <w:left w:val="single" w:color="auto" w:sz="4" w:space="0"/>
              <w:right w:val="outset" w:color="auto" w:sz="6" w:space="0"/>
            </w:tcBorders>
            <w:tcMar>
              <w:left w:w="75" w:type="dxa"/>
            </w:tcMar>
            <w:vAlign w:val="center"/>
          </w:tcPr>
          <w:p w14:paraId="1B7CDA2C">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未以联合体形式报价</w:t>
            </w:r>
          </w:p>
        </w:tc>
      </w:tr>
      <w:tr w14:paraId="1DC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800" w:type="dxa"/>
            <w:vMerge w:val="continue"/>
            <w:vAlign w:val="center"/>
          </w:tcPr>
          <w:p w14:paraId="04B6AAF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297B103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Borders>
              <w:top w:val="single" w:color="auto" w:sz="4" w:space="0"/>
              <w:left w:val="single" w:color="auto" w:sz="4" w:space="0"/>
              <w:right w:val="single" w:color="auto" w:sz="4" w:space="0"/>
            </w:tcBorders>
            <w:tcMar>
              <w:left w:w="75" w:type="dxa"/>
            </w:tcMar>
            <w:vAlign w:val="center"/>
          </w:tcPr>
          <w:p w14:paraId="2E527C86">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bCs/>
                <w:kern w:val="0"/>
                <w:sz w:val="18"/>
                <w:szCs w:val="18"/>
                <w:highlight w:val="none"/>
              </w:rPr>
              <w:t>分包</w:t>
            </w:r>
          </w:p>
        </w:tc>
        <w:tc>
          <w:tcPr>
            <w:tcW w:w="4970" w:type="dxa"/>
            <w:tcBorders>
              <w:top w:val="outset" w:color="auto" w:sz="6" w:space="0"/>
              <w:left w:val="single" w:color="auto" w:sz="4" w:space="0"/>
              <w:right w:val="outset" w:color="auto" w:sz="6" w:space="0"/>
            </w:tcBorders>
            <w:tcMar>
              <w:left w:w="75" w:type="dxa"/>
            </w:tcMar>
            <w:vAlign w:val="center"/>
          </w:tcPr>
          <w:p w14:paraId="750EC12A">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没有分包</w:t>
            </w:r>
          </w:p>
        </w:tc>
      </w:tr>
      <w:tr w14:paraId="3BED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8" w:hRule="atLeast"/>
          <w:jc w:val="center"/>
        </w:trPr>
        <w:tc>
          <w:tcPr>
            <w:tcW w:w="800" w:type="dxa"/>
            <w:vMerge w:val="continue"/>
            <w:vAlign w:val="center"/>
          </w:tcPr>
          <w:p w14:paraId="7ACB13F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3B934E72">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Borders>
              <w:top w:val="single" w:color="auto" w:sz="4" w:space="0"/>
              <w:left w:val="single" w:color="auto" w:sz="4" w:space="0"/>
              <w:right w:val="single" w:color="auto" w:sz="4" w:space="0"/>
            </w:tcBorders>
            <w:tcMar>
              <w:left w:w="75" w:type="dxa"/>
            </w:tcMar>
            <w:vAlign w:val="center"/>
          </w:tcPr>
          <w:p w14:paraId="6D78B6F1">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报价</w:t>
            </w:r>
          </w:p>
        </w:tc>
        <w:tc>
          <w:tcPr>
            <w:tcW w:w="4970" w:type="dxa"/>
            <w:tcBorders>
              <w:top w:val="outset" w:color="auto" w:sz="6" w:space="0"/>
              <w:left w:val="single" w:color="auto" w:sz="4" w:space="0"/>
              <w:right w:val="outset" w:color="auto" w:sz="6" w:space="0"/>
            </w:tcBorders>
            <w:tcMar>
              <w:left w:w="75" w:type="dxa"/>
            </w:tcMar>
            <w:vAlign w:val="center"/>
          </w:tcPr>
          <w:p w14:paraId="3E7E92BC">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（1）报价未超过询比文件设定的最高限价。</w:t>
            </w:r>
          </w:p>
          <w:p w14:paraId="0197C6B1">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（2）已标价的报价清单总报价和报价函的报价一致（四舍五入除外）。</w:t>
            </w:r>
          </w:p>
          <w:p w14:paraId="43C79E0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（3）报价的大写数值能确定具体数值，未出现数量级错误、报价金额单位错误。</w:t>
            </w:r>
          </w:p>
          <w:p w14:paraId="393C3E17">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（4）同一供应商未递交两个以上不同的报价。</w:t>
            </w:r>
          </w:p>
          <w:p w14:paraId="1100746E">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（5）供应商按采购人提供的书面报价清单填写了报价，且未修改报价清单说明、数量等实质性内容。</w:t>
            </w:r>
          </w:p>
          <w:p w14:paraId="304AB5A4">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（6）已标价</w:t>
            </w:r>
            <w:r>
              <w:rPr>
                <w:rFonts w:hint="eastAsia" w:ascii="宋体" w:hAnsi="宋体" w:eastAsia="宋体" w:cs="宋体"/>
                <w:kern w:val="0"/>
                <w:sz w:val="18"/>
                <w:szCs w:val="18"/>
                <w:highlight w:val="none"/>
              </w:rPr>
              <w:t>报价清单中未更改询比文件确定的暂列金额。</w:t>
            </w:r>
          </w:p>
        </w:tc>
      </w:tr>
      <w:tr w14:paraId="5692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Merge w:val="continue"/>
            <w:vAlign w:val="center"/>
          </w:tcPr>
          <w:p w14:paraId="7A485AED">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300" w:type="dxa"/>
            <w:vMerge w:val="continue"/>
            <w:vAlign w:val="center"/>
          </w:tcPr>
          <w:p w14:paraId="12B53995">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p>
        </w:tc>
        <w:tc>
          <w:tcPr>
            <w:tcW w:w="1537" w:type="dxa"/>
            <w:tcMar>
              <w:left w:w="75" w:type="dxa"/>
            </w:tcMar>
            <w:vAlign w:val="center"/>
          </w:tcPr>
          <w:p w14:paraId="1801CFEC">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其他实质性要求</w:t>
            </w:r>
          </w:p>
        </w:tc>
        <w:tc>
          <w:tcPr>
            <w:tcW w:w="4970" w:type="dxa"/>
            <w:tcMar>
              <w:left w:w="75" w:type="dxa"/>
            </w:tcMar>
            <w:vAlign w:val="center"/>
          </w:tcPr>
          <w:p w14:paraId="2DCE7932">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符合询比文件的其他实质性要求和条件</w:t>
            </w:r>
          </w:p>
        </w:tc>
      </w:tr>
      <w:tr w14:paraId="7230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2100" w:type="dxa"/>
            <w:gridSpan w:val="2"/>
            <w:vAlign w:val="center"/>
          </w:tcPr>
          <w:p w14:paraId="37F8DBF0">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sz w:val="18"/>
                <w:szCs w:val="18"/>
                <w:highlight w:val="none"/>
              </w:rPr>
              <w:t>条款号</w:t>
            </w:r>
          </w:p>
        </w:tc>
        <w:tc>
          <w:tcPr>
            <w:tcW w:w="1537" w:type="dxa"/>
            <w:tcMar>
              <w:left w:w="75" w:type="dxa"/>
            </w:tcMar>
            <w:vAlign w:val="center"/>
          </w:tcPr>
          <w:p w14:paraId="220219EC">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sz w:val="18"/>
                <w:szCs w:val="18"/>
                <w:highlight w:val="none"/>
              </w:rPr>
              <w:t>量化因素</w:t>
            </w:r>
          </w:p>
        </w:tc>
        <w:tc>
          <w:tcPr>
            <w:tcW w:w="4970" w:type="dxa"/>
            <w:tcMar>
              <w:left w:w="75" w:type="dxa"/>
            </w:tcMar>
            <w:vAlign w:val="center"/>
          </w:tcPr>
          <w:p w14:paraId="64CB6CA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b/>
                <w:sz w:val="18"/>
                <w:szCs w:val="18"/>
                <w:highlight w:val="none"/>
              </w:rPr>
              <w:t>量化标准</w:t>
            </w:r>
          </w:p>
        </w:tc>
      </w:tr>
      <w:tr w14:paraId="5008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00" w:type="dxa"/>
            <w:vAlign w:val="center"/>
          </w:tcPr>
          <w:p w14:paraId="50F0DF9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rPr>
              <w:t>2.2</w:t>
            </w:r>
          </w:p>
        </w:tc>
        <w:tc>
          <w:tcPr>
            <w:tcW w:w="1300" w:type="dxa"/>
            <w:vAlign w:val="center"/>
          </w:tcPr>
          <w:p w14:paraId="2474239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详细评审标准</w:t>
            </w:r>
          </w:p>
        </w:tc>
        <w:tc>
          <w:tcPr>
            <w:tcW w:w="1537" w:type="dxa"/>
            <w:tcMar>
              <w:left w:w="75" w:type="dxa"/>
            </w:tcMar>
            <w:vAlign w:val="center"/>
          </w:tcPr>
          <w:p w14:paraId="129BCB0D">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评审价计算</w:t>
            </w:r>
          </w:p>
        </w:tc>
        <w:tc>
          <w:tcPr>
            <w:tcW w:w="4970" w:type="dxa"/>
            <w:tcMar>
              <w:left w:w="75" w:type="dxa"/>
            </w:tcMar>
            <w:vAlign w:val="center"/>
          </w:tcPr>
          <w:p w14:paraId="4549EE20">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color w:val="FF0000"/>
                <w:kern w:val="0"/>
                <w:sz w:val="18"/>
                <w:szCs w:val="18"/>
                <w:highlight w:val="none"/>
              </w:rPr>
              <w:t>评审价＝修正后的</w:t>
            </w:r>
            <w:r>
              <w:rPr>
                <w:rFonts w:hint="eastAsia" w:ascii="宋体" w:hAnsi="宋体" w:cs="宋体"/>
                <w:color w:val="FF0000"/>
                <w:kern w:val="0"/>
                <w:sz w:val="18"/>
                <w:szCs w:val="18"/>
                <w:highlight w:val="none"/>
                <w:lang w:val="en-US" w:eastAsia="zh-CN"/>
              </w:rPr>
              <w:t>不含税</w:t>
            </w:r>
            <w:r>
              <w:rPr>
                <w:rFonts w:hint="eastAsia" w:ascii="宋体" w:hAnsi="宋体" w:eastAsia="宋体" w:cs="宋体"/>
                <w:color w:val="FF0000"/>
                <w:kern w:val="0"/>
                <w:sz w:val="18"/>
                <w:szCs w:val="18"/>
                <w:highlight w:val="none"/>
              </w:rPr>
              <w:t>报价</w:t>
            </w:r>
          </w:p>
        </w:tc>
      </w:tr>
      <w:tr w14:paraId="3D2B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8607" w:type="dxa"/>
            <w:gridSpan w:val="4"/>
            <w:vAlign w:val="center"/>
          </w:tcPr>
          <w:p w14:paraId="6E637633">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rPr>
              <w:t>需要补充的其他内容：</w:t>
            </w:r>
            <w:r>
              <w:rPr>
                <w:rFonts w:hint="eastAsia" w:ascii="宋体" w:hAnsi="宋体" w:eastAsia="宋体" w:cs="宋体"/>
                <w:sz w:val="18"/>
                <w:szCs w:val="18"/>
                <w:highlight w:val="none"/>
                <w:lang w:val="en-US" w:eastAsia="zh-CN"/>
              </w:rPr>
              <w:t xml:space="preserve">  /  </w:t>
            </w:r>
          </w:p>
        </w:tc>
      </w:tr>
    </w:tbl>
    <w:p w14:paraId="07D050A5">
      <w:pPr>
        <w:keepNext/>
        <w:keepLines/>
        <w:pageBreakBefore w:val="0"/>
        <w:kinsoku/>
        <w:wordWrap/>
        <w:overflowPunct/>
        <w:topLinePunct w:val="0"/>
        <w:bidi w:val="0"/>
        <w:spacing w:line="360" w:lineRule="exact"/>
        <w:textAlignment w:val="auto"/>
        <w:outlineLvl w:val="1"/>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1. 评审方法</w:t>
      </w:r>
    </w:p>
    <w:p w14:paraId="428F040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本次评审采用最低价法。评审小组对满足询比文件实质性要求的响应文件，按照评审价由低到高的顺序依次推荐成交候选人。如报价相同的，按照评审办法前附表中的规定确定成交候选人顺序。</w:t>
      </w:r>
    </w:p>
    <w:p w14:paraId="2EE4AD70">
      <w:pPr>
        <w:keepNext/>
        <w:keepLines/>
        <w:pageBreakBefore w:val="0"/>
        <w:kinsoku/>
        <w:wordWrap/>
        <w:overflowPunct/>
        <w:topLinePunct w:val="0"/>
        <w:bidi w:val="0"/>
        <w:spacing w:line="360" w:lineRule="exact"/>
        <w:textAlignment w:val="auto"/>
        <w:outlineLvl w:val="1"/>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2. 评审标准</w:t>
      </w:r>
    </w:p>
    <w:p w14:paraId="764151F3">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2.1 初步评审标准</w:t>
      </w:r>
    </w:p>
    <w:p w14:paraId="57F26E0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2.1.1 形式评审标准：见评审办法前附表。</w:t>
      </w:r>
    </w:p>
    <w:p w14:paraId="51E08E3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2.1.2 资格评审标准：见评审办法前附表。</w:t>
      </w:r>
    </w:p>
    <w:p w14:paraId="139BF51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2.1.3 响应性评审标准：见评审办法前附表。</w:t>
      </w:r>
    </w:p>
    <w:p w14:paraId="764D8DDC">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2.2 详细评审标准</w:t>
      </w:r>
    </w:p>
    <w:p w14:paraId="6AAAB17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详细评审标准：见评审办法前附表。</w:t>
      </w:r>
    </w:p>
    <w:p w14:paraId="1C8A6B7D">
      <w:pPr>
        <w:keepNext/>
        <w:keepLines/>
        <w:pageBreakBefore w:val="0"/>
        <w:kinsoku/>
        <w:wordWrap/>
        <w:overflowPunct/>
        <w:topLinePunct w:val="0"/>
        <w:bidi w:val="0"/>
        <w:spacing w:line="360" w:lineRule="exact"/>
        <w:textAlignment w:val="auto"/>
        <w:outlineLvl w:val="1"/>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3. 评审程序</w:t>
      </w:r>
    </w:p>
    <w:p w14:paraId="46680F57">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3.1 初步评审</w:t>
      </w:r>
    </w:p>
    <w:p w14:paraId="7A02A73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3.1.1评审小组依据本章第2.1.1项、第2.1.2项、第2.1.3项规定的标准对响应文件进行评审。有一项不符合评审标准的，评审小组应否决其响应文件。</w:t>
      </w:r>
    </w:p>
    <w:p w14:paraId="69FA3AB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3.1.2 响应文件中填报的报价、交货期、质量标准前后不一致，且报价函中填写的内容满足询比文件要求时，按细微偏差处理，并以报价函填报的为准。</w:t>
      </w:r>
    </w:p>
    <w:p w14:paraId="78ABDD5B">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3.1.3 报价存在以下细微偏差的，评审小组按以下原则对报价进行处理，并要求供应商书面澄清确认，供应商拒不澄清确认的，评审小组应当否决其报价。</w:t>
      </w:r>
    </w:p>
    <w:p w14:paraId="268CF752">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（1）报价有算术错误的，评审小组按以下原则对报价进行修正，修正的价格经供应商书面确认后具有约束力。供应商不接受修正价格的，评审小组应否决其报价。</w:t>
      </w:r>
    </w:p>
    <w:p w14:paraId="151A1C5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①响应文件中的大写金额与小写金额不一致的，以大写金额为准；</w:t>
      </w:r>
    </w:p>
    <w:p w14:paraId="76E90BA4">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②总价金额与依据单价计算出的结果不一致的，以单价金额为准修正总价，但单价金额小数点有明显错误的除外；</w:t>
      </w:r>
    </w:p>
    <w:p w14:paraId="35CE44F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③当单价与数量相乘不等于合价时，以单价计算为准，如果单价有明显的小数点位置差错，应以标出的合价为准，同时对单价予以修正；</w:t>
      </w:r>
    </w:p>
    <w:p w14:paraId="03D2085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④当各子目的合价累计不等于总价时，应以各子目合价累计数为准，修正总价。</w:t>
      </w:r>
    </w:p>
    <w:p w14:paraId="2ADFC85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（2）清单中的报价有其他错误的，评审小组按以下原则对报价进行修正，修正的价格经供应商书面确认后具有约束力。供应商不接受修正价格的，评审小组应否决其报价。</w:t>
      </w:r>
    </w:p>
    <w:p w14:paraId="6F37ADD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宋体" w:hAnsi="宋体" w:eastAsia="宋体" w:cs="宋体"/>
          <w:sz w:val="18"/>
          <w:szCs w:val="18"/>
          <w:highlight w:val="none"/>
          <w:lang w:eastAsia="zh-CN"/>
        </w:rPr>
        <w:t>；</w:t>
      </w:r>
    </w:p>
    <w:p w14:paraId="1FDEBB1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宋体" w:hAnsi="宋体" w:eastAsia="宋体" w:cs="宋体"/>
          <w:sz w:val="18"/>
          <w:szCs w:val="18"/>
          <w:highlight w:val="none"/>
          <w:lang w:eastAsia="zh-CN"/>
        </w:rPr>
        <w:t>；</w:t>
      </w:r>
    </w:p>
    <w:p w14:paraId="2DBC272B">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③当单价与数量的乘积与合价（金额）虽然一致，但供应商修改了该子目的数量，则其合价按采购人给定的数量乘以供应商所报单价予以修正</w:t>
      </w:r>
      <w:r>
        <w:rPr>
          <w:rFonts w:hint="eastAsia" w:ascii="宋体" w:hAnsi="宋体" w:eastAsia="宋体" w:cs="宋体"/>
          <w:sz w:val="18"/>
          <w:szCs w:val="18"/>
          <w:highlight w:val="none"/>
          <w:lang w:eastAsia="zh-CN"/>
        </w:rPr>
        <w:t>；</w:t>
      </w:r>
    </w:p>
    <w:p w14:paraId="32CE80AF">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④当各子目的合价累计不等于总价时，应以各子目合价累计数为准，修正总价。</w:t>
      </w:r>
    </w:p>
    <w:p w14:paraId="7F763A8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3.1.4 修正后的最终报价若超过最高限价（如有），评审小组应否决其报价。</w:t>
      </w:r>
    </w:p>
    <w:p w14:paraId="096CDEE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3.1.5 修正后的最终报价参与评审价得分的计算，并作为签订合同的依据。</w:t>
      </w:r>
    </w:p>
    <w:p w14:paraId="02B50828">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3.2 详细评审</w:t>
      </w:r>
    </w:p>
    <w:p w14:paraId="51EFAA45">
      <w:pPr>
        <w:pageBreakBefore w:val="0"/>
        <w:kinsoku/>
        <w:wordWrap/>
        <w:overflowPunct/>
        <w:topLinePunct w:val="0"/>
        <w:bidi w:val="0"/>
        <w:spacing w:line="360" w:lineRule="exact"/>
        <w:ind w:firstLine="44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评审小组按本章第2.2款规定进行评审价排序。</w:t>
      </w:r>
    </w:p>
    <w:p w14:paraId="57A7AA3D">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3.3 否决响应文件的其他情形</w:t>
      </w:r>
    </w:p>
    <w:p w14:paraId="5C1D1E0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评审小组应对在评审过程中发现供应商存在串通报价、弄虚作假、行贿等违法行为的，评审小组应否决其响应文件。</w:t>
      </w:r>
    </w:p>
    <w:p w14:paraId="634A7FCC">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3.4 响应文件的澄清和说明或补正</w:t>
      </w:r>
    </w:p>
    <w:p w14:paraId="191F7221">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3.4.1 在评审过程中，评审小组可以书面形式要求供应商对响应文件中含义不明确、对同类问题表述不一致或者有明显文字错误的内容做必要的澄清。评审小组不接受供应商主动提出的澄清。</w:t>
      </w:r>
    </w:p>
    <w:p w14:paraId="0BF9207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3.4.2 澄清不得超出响应文件的范围且不得改变响应文件的实质性内容，并构成响应文件的组成部分。</w:t>
      </w:r>
    </w:p>
    <w:p w14:paraId="16C5F8D7">
      <w:pPr>
        <w:keepNext/>
        <w:keepLines/>
        <w:pageBreakBefore w:val="0"/>
        <w:kinsoku/>
        <w:wordWrap/>
        <w:overflowPunct/>
        <w:topLinePunct w:val="0"/>
        <w:bidi w:val="0"/>
        <w:spacing w:line="360" w:lineRule="exact"/>
        <w:textAlignment w:val="auto"/>
        <w:outlineLvl w:val="2"/>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rPr>
        <w:t>3.5 评审结果</w:t>
      </w:r>
    </w:p>
    <w:p w14:paraId="1AA2831B">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评审小组完成评审后，应当向采购人提交评审报告。评审报告应当如实记载以下内容：</w:t>
      </w:r>
    </w:p>
    <w:p w14:paraId="1299AE9C">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135" w:name="_Toc218_WPSOffice_Level2"/>
      <w:bookmarkStart w:id="136" w:name="_Toc12245_WPSOffice_Level2"/>
      <w:bookmarkStart w:id="137" w:name="_Toc21524_WPSOffice_Level2"/>
      <w:r>
        <w:rPr>
          <w:rFonts w:hint="eastAsia" w:ascii="宋体" w:hAnsi="宋体" w:eastAsia="宋体" w:cs="宋体"/>
          <w:sz w:val="18"/>
          <w:szCs w:val="18"/>
          <w:highlight w:val="none"/>
        </w:rPr>
        <w:t>（一）采购项目基本情况</w:t>
      </w:r>
      <w:bookmarkEnd w:id="135"/>
      <w:bookmarkEnd w:id="136"/>
      <w:bookmarkEnd w:id="137"/>
    </w:p>
    <w:p w14:paraId="09BF03B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138" w:name="_Toc5856_WPSOffice_Level2"/>
      <w:bookmarkStart w:id="139" w:name="_Toc8414_WPSOffice_Level2"/>
      <w:bookmarkStart w:id="140" w:name="_Toc31322_WPSOffice_Level2"/>
      <w:r>
        <w:rPr>
          <w:rFonts w:hint="eastAsia" w:ascii="宋体" w:hAnsi="宋体" w:eastAsia="宋体" w:cs="宋体"/>
          <w:sz w:val="18"/>
          <w:szCs w:val="18"/>
          <w:highlight w:val="none"/>
        </w:rPr>
        <w:t>（二）采购过程回顾</w:t>
      </w:r>
      <w:bookmarkEnd w:id="138"/>
      <w:bookmarkEnd w:id="139"/>
      <w:bookmarkEnd w:id="140"/>
    </w:p>
    <w:p w14:paraId="4903A5C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141" w:name="_Toc1346_WPSOffice_Level2"/>
      <w:bookmarkStart w:id="142" w:name="_Toc2932_WPSOffice_Level2"/>
      <w:bookmarkStart w:id="143" w:name="_Toc15620_WPSOffice_Level2"/>
      <w:r>
        <w:rPr>
          <w:rFonts w:hint="eastAsia" w:ascii="宋体" w:hAnsi="宋体" w:eastAsia="宋体" w:cs="宋体"/>
          <w:sz w:val="18"/>
          <w:szCs w:val="18"/>
          <w:highlight w:val="none"/>
        </w:rPr>
        <w:t>（三）评审小组成员名单</w:t>
      </w:r>
      <w:bookmarkEnd w:id="141"/>
      <w:bookmarkEnd w:id="142"/>
      <w:bookmarkEnd w:id="143"/>
    </w:p>
    <w:p w14:paraId="0212A0D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144" w:name="_Toc32316_WPSOffice_Level2"/>
      <w:bookmarkStart w:id="145" w:name="_Toc14464_WPSOffice_Level2"/>
      <w:bookmarkStart w:id="146" w:name="_Toc14207_WPSOffice_Level2"/>
      <w:r>
        <w:rPr>
          <w:rFonts w:hint="eastAsia" w:ascii="宋体" w:hAnsi="宋体" w:eastAsia="宋体" w:cs="宋体"/>
          <w:sz w:val="18"/>
          <w:szCs w:val="18"/>
          <w:highlight w:val="none"/>
        </w:rPr>
        <w:t>（四）询比评审工作</w:t>
      </w:r>
      <w:bookmarkEnd w:id="144"/>
      <w:bookmarkEnd w:id="145"/>
      <w:bookmarkEnd w:id="146"/>
    </w:p>
    <w:p w14:paraId="426C2AAD">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1.评审办法</w:t>
      </w:r>
    </w:p>
    <w:p w14:paraId="4D8E15E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2.初步评审情况（资格审查、形式性审查、响应性审查）</w:t>
      </w:r>
    </w:p>
    <w:p w14:paraId="369362F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3.详细评审情况（供应商的评审价评审情况）</w:t>
      </w:r>
    </w:p>
    <w:p w14:paraId="1DB4369E">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4.否决的供应商名单以及否决理由（如有）</w:t>
      </w:r>
    </w:p>
    <w:p w14:paraId="7D8DEE5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5.推荐候选供应商排序</w:t>
      </w:r>
    </w:p>
    <w:p w14:paraId="1751EFE8">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147" w:name="_Toc13397_WPSOffice_Level2"/>
      <w:bookmarkStart w:id="148" w:name="_Toc5114_WPSOffice_Level2"/>
      <w:bookmarkStart w:id="149" w:name="_Toc3913_WPSOffice_Level2"/>
      <w:r>
        <w:rPr>
          <w:rFonts w:hint="eastAsia" w:ascii="宋体" w:hAnsi="宋体" w:eastAsia="宋体" w:cs="宋体"/>
          <w:sz w:val="18"/>
          <w:szCs w:val="18"/>
          <w:highlight w:val="none"/>
        </w:rPr>
        <w:t>（五）需要说明的其他事项</w:t>
      </w:r>
      <w:bookmarkEnd w:id="147"/>
      <w:bookmarkEnd w:id="148"/>
      <w:bookmarkEnd w:id="149"/>
    </w:p>
    <w:p w14:paraId="2B8E6333">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bookmarkStart w:id="150" w:name="_Toc3031_WPSOffice_Level2"/>
      <w:bookmarkStart w:id="151" w:name="_Toc23800_WPSOffice_Level2"/>
      <w:bookmarkStart w:id="152" w:name="_Toc8934_WPSOffice_Level2"/>
      <w:r>
        <w:rPr>
          <w:rFonts w:hint="eastAsia" w:ascii="宋体" w:hAnsi="宋体" w:eastAsia="宋体" w:cs="宋体"/>
          <w:sz w:val="18"/>
          <w:szCs w:val="18"/>
          <w:highlight w:val="none"/>
        </w:rPr>
        <w:t>（六）评审附表</w:t>
      </w:r>
      <w:bookmarkEnd w:id="150"/>
      <w:bookmarkEnd w:id="151"/>
      <w:bookmarkEnd w:id="152"/>
    </w:p>
    <w:p w14:paraId="28E1494A">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1.响应文件开启记录表</w:t>
      </w:r>
    </w:p>
    <w:p w14:paraId="03F3A4B5">
      <w:pPr>
        <w:pageBreakBefore w:val="0"/>
        <w:kinsoku/>
        <w:wordWrap/>
        <w:overflowPunct/>
        <w:topLinePunct w:val="0"/>
        <w:bidi w:val="0"/>
        <w:spacing w:line="360" w:lineRule="exact"/>
        <w:ind w:firstLine="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2.评审表格</w:t>
      </w:r>
    </w:p>
    <w:p w14:paraId="54C3A74E">
      <w:pPr>
        <w:rPr>
          <w:rFonts w:ascii="Times New Roman" w:hAnsi="Times New Roman"/>
          <w:highlight w:val="none"/>
        </w:rPr>
      </w:pPr>
      <w:r>
        <w:rPr>
          <w:rFonts w:ascii="Times New Roman" w:hAnsi="Times New Roman"/>
          <w:highlight w:val="none"/>
        </w:rPr>
        <w:br w:type="page"/>
      </w:r>
    </w:p>
    <w:p w14:paraId="12BC2EDA">
      <w:pPr>
        <w:pStyle w:val="2"/>
        <w:numPr>
          <w:ilvl w:val="0"/>
          <w:numId w:val="0"/>
        </w:numPr>
        <w:spacing w:before="312" w:after="312"/>
        <w:ind w:leftChars="0"/>
        <w:rPr>
          <w:rFonts w:ascii="Times New Roman" w:hAnsi="Times New Roman"/>
          <w:sz w:val="28"/>
          <w:highlight w:val="none"/>
        </w:rPr>
      </w:pPr>
      <w:bookmarkStart w:id="153" w:name="_Toc18909_WPSOffice_Level1"/>
      <w:r>
        <w:rPr>
          <w:rFonts w:hint="eastAsia" w:ascii="Times New Roman" w:hAnsi="Times New Roman" w:eastAsia="宋体"/>
          <w:highlight w:val="none"/>
          <w:lang w:val="en-US" w:eastAsia="zh-CN"/>
        </w:rPr>
        <w:t xml:space="preserve">第四章 </w:t>
      </w:r>
      <w:r>
        <w:rPr>
          <w:rFonts w:ascii="Times New Roman" w:hAnsi="Times New Roman" w:eastAsia="宋体"/>
          <w:highlight w:val="none"/>
        </w:rPr>
        <w:t>合同内容</w:t>
      </w:r>
      <w:bookmarkEnd w:id="153"/>
      <w:bookmarkStart w:id="154" w:name="_Toc447808679"/>
      <w:bookmarkStart w:id="155" w:name="_Toc12005"/>
      <w:bookmarkStart w:id="156" w:name="_Toc16698_WPSOffice_Level2"/>
    </w:p>
    <w:bookmarkEnd w:id="154"/>
    <w:bookmarkEnd w:id="155"/>
    <w:bookmarkEnd w:id="156"/>
    <w:p w14:paraId="1EC1AC0F">
      <w:pPr>
        <w:jc w:val="right"/>
        <w:rPr>
          <w:highlight w:val="none"/>
        </w:rPr>
      </w:pPr>
      <w:bookmarkStart w:id="157" w:name="_bookmark259"/>
      <w:bookmarkEnd w:id="157"/>
      <w:bookmarkStart w:id="158" w:name="_Toc501460622"/>
      <w:r>
        <w:rPr>
          <w:rFonts w:hint="eastAsia" w:ascii="仿宋_GB2312" w:hAnsi="仿宋" w:eastAsia="仿宋_GB2312" w:cs="仿宋"/>
          <w:b/>
          <w:w w:val="90"/>
          <w:sz w:val="24"/>
          <w:highlight w:val="none"/>
        </w:rPr>
        <w:t>合同编号：</w:t>
      </w:r>
    </w:p>
    <w:p w14:paraId="06F26B55">
      <w:pPr>
        <w:jc w:val="center"/>
        <w:rPr>
          <w:rFonts w:hint="eastAsia" w:cs="仿宋" w:asciiTheme="minorEastAsia" w:hAnsiTheme="minorEastAsia"/>
          <w:sz w:val="36"/>
          <w:szCs w:val="36"/>
          <w:highlight w:val="none"/>
        </w:rPr>
      </w:pPr>
    </w:p>
    <w:p w14:paraId="2A8A723C">
      <w:pPr>
        <w:pStyle w:val="9"/>
        <w:jc w:val="center"/>
        <w:rPr>
          <w:rFonts w:hint="eastAsia" w:ascii="仿宋_GB2312" w:eastAsia="仿宋_GB2312" w:cs="仿宋" w:hAnsiTheme="minorEastAsia"/>
          <w:b/>
          <w:bCs/>
          <w:sz w:val="40"/>
          <w:szCs w:val="40"/>
          <w:highlight w:val="none"/>
        </w:rPr>
      </w:pPr>
      <w:r>
        <w:rPr>
          <w:rFonts w:hint="eastAsia" w:ascii="仿宋_GB2312" w:eastAsia="仿宋_GB2312" w:cs="仿宋" w:hAnsiTheme="minorEastAsia"/>
          <w:b/>
          <w:bCs/>
          <w:sz w:val="40"/>
          <w:szCs w:val="40"/>
          <w:highlight w:val="none"/>
        </w:rPr>
        <w:t>青浦区华新镇安联明悦邸（安联·虹悦）</w:t>
      </w:r>
    </w:p>
    <w:p w14:paraId="4A9A847F">
      <w:pPr>
        <w:pStyle w:val="9"/>
        <w:jc w:val="center"/>
        <w:rPr>
          <w:rFonts w:hint="eastAsia" w:asciiTheme="minorEastAsia" w:hAnsiTheme="minorEastAsia"/>
          <w:highlight w:val="none"/>
        </w:rPr>
      </w:pPr>
      <w:r>
        <w:rPr>
          <w:rFonts w:hint="eastAsia" w:ascii="仿宋_GB2312" w:eastAsia="仿宋_GB2312" w:cs="仿宋" w:hAnsiTheme="minorEastAsia"/>
          <w:b/>
          <w:bCs/>
          <w:sz w:val="40"/>
          <w:szCs w:val="40"/>
          <w:highlight w:val="none"/>
        </w:rPr>
        <w:t>2025年</w:t>
      </w:r>
      <w:r>
        <w:rPr>
          <w:rFonts w:hint="eastAsia" w:ascii="仿宋_GB2312" w:eastAsia="仿宋_GB2312" w:cs="仿宋" w:hAnsiTheme="minorEastAsia"/>
          <w:b/>
          <w:bCs/>
          <w:sz w:val="40"/>
          <w:szCs w:val="40"/>
          <w:highlight w:val="none"/>
          <w:lang w:eastAsia="zh-CN"/>
        </w:rPr>
        <w:t>拓客</w:t>
      </w:r>
      <w:r>
        <w:rPr>
          <w:rFonts w:hint="eastAsia" w:ascii="仿宋_GB2312" w:eastAsia="仿宋_GB2312" w:cs="仿宋" w:hAnsiTheme="minorEastAsia"/>
          <w:b/>
          <w:bCs/>
          <w:sz w:val="40"/>
          <w:szCs w:val="40"/>
          <w:highlight w:val="none"/>
        </w:rPr>
        <w:t>礼品采购合同</w:t>
      </w:r>
    </w:p>
    <w:p w14:paraId="24D9D77A">
      <w:pPr>
        <w:pStyle w:val="9"/>
        <w:rPr>
          <w:rFonts w:hint="eastAsia" w:asciiTheme="minorEastAsia" w:hAnsiTheme="minorEastAsia"/>
          <w:highlight w:val="none"/>
        </w:rPr>
      </w:pPr>
    </w:p>
    <w:p w14:paraId="542C26E8">
      <w:pPr>
        <w:pStyle w:val="9"/>
        <w:rPr>
          <w:rFonts w:hint="eastAsia" w:asciiTheme="minorEastAsia" w:hAnsiTheme="minorEastAsia"/>
          <w:highlight w:val="none"/>
        </w:rPr>
      </w:pPr>
    </w:p>
    <w:p w14:paraId="3CDD65FA">
      <w:pPr>
        <w:pStyle w:val="9"/>
        <w:rPr>
          <w:rFonts w:hint="eastAsia" w:asciiTheme="minorEastAsia" w:hAnsiTheme="minorEastAsia"/>
          <w:highlight w:val="none"/>
        </w:rPr>
      </w:pPr>
    </w:p>
    <w:p w14:paraId="149DFD8B">
      <w:pPr>
        <w:pStyle w:val="9"/>
        <w:rPr>
          <w:rFonts w:hint="eastAsia" w:asciiTheme="minorEastAsia" w:hAnsiTheme="minorEastAsia"/>
          <w:highlight w:val="none"/>
        </w:rPr>
      </w:pPr>
    </w:p>
    <w:p w14:paraId="0C14692F">
      <w:pPr>
        <w:pStyle w:val="9"/>
        <w:rPr>
          <w:rFonts w:hint="eastAsia" w:asciiTheme="minorEastAsia" w:hAnsiTheme="minorEastAsia"/>
          <w:highlight w:val="none"/>
        </w:rPr>
      </w:pPr>
    </w:p>
    <w:p w14:paraId="0613DF95">
      <w:pPr>
        <w:pStyle w:val="9"/>
        <w:rPr>
          <w:rFonts w:hint="eastAsia" w:asciiTheme="minorEastAsia" w:hAnsiTheme="minorEastAsia"/>
          <w:highlight w:val="none"/>
        </w:rPr>
      </w:pPr>
    </w:p>
    <w:p w14:paraId="437510C0">
      <w:pPr>
        <w:pStyle w:val="9"/>
        <w:rPr>
          <w:rFonts w:hint="eastAsia" w:asciiTheme="minorEastAsia" w:hAnsiTheme="minorEastAsia"/>
          <w:highlight w:val="none"/>
        </w:rPr>
      </w:pPr>
    </w:p>
    <w:p w14:paraId="7D10635F">
      <w:pPr>
        <w:pStyle w:val="9"/>
        <w:rPr>
          <w:rFonts w:hint="eastAsia" w:asciiTheme="minorEastAsia" w:hAnsiTheme="minorEastAsia"/>
          <w:highlight w:val="none"/>
        </w:rPr>
      </w:pPr>
    </w:p>
    <w:p w14:paraId="78C13A9B">
      <w:pPr>
        <w:spacing w:line="360" w:lineRule="auto"/>
        <w:ind w:firstLine="2016" w:firstLineChars="800"/>
        <w:rPr>
          <w:rFonts w:hint="eastAsia" w:ascii="仿宋_GB2312" w:eastAsia="仿宋_GB2312" w:cs="仿宋" w:hAnsiTheme="minorEastAsia"/>
          <w:w w:val="90"/>
          <w:sz w:val="28"/>
          <w:szCs w:val="28"/>
          <w:highlight w:val="none"/>
        </w:rPr>
      </w:pPr>
      <w:r>
        <w:rPr>
          <w:rFonts w:hint="eastAsia" w:ascii="仿宋_GB2312" w:eastAsia="仿宋_GB2312" w:cs="仿宋" w:hAnsiTheme="minorEastAsia"/>
          <w:b/>
          <w:w w:val="90"/>
          <w:sz w:val="28"/>
          <w:szCs w:val="28"/>
          <w:highlight w:val="none"/>
        </w:rPr>
        <w:t>委托方：</w:t>
      </w:r>
      <w:r>
        <w:rPr>
          <w:rFonts w:hint="eastAsia" w:ascii="仿宋_GB2312" w:eastAsia="仿宋_GB2312" w:cs="仿宋" w:hAnsiTheme="minorEastAsia"/>
          <w:w w:val="90"/>
          <w:sz w:val="28"/>
          <w:szCs w:val="28"/>
          <w:highlight w:val="none"/>
          <w:u w:val="single"/>
        </w:rPr>
        <w:t xml:space="preserve">                      </w:t>
      </w:r>
    </w:p>
    <w:p w14:paraId="27F23955">
      <w:pPr>
        <w:spacing w:line="360" w:lineRule="auto"/>
        <w:ind w:firstLine="2016" w:firstLineChars="800"/>
        <w:rPr>
          <w:rFonts w:hint="eastAsia" w:ascii="仿宋_GB2312" w:eastAsia="仿宋_GB2312" w:cs="仿宋" w:hAnsiTheme="minorEastAsia"/>
          <w:b/>
          <w:w w:val="90"/>
          <w:sz w:val="28"/>
          <w:szCs w:val="28"/>
          <w:highlight w:val="none"/>
          <w:u w:val="single"/>
        </w:rPr>
      </w:pPr>
      <w:r>
        <w:rPr>
          <w:rFonts w:hint="eastAsia" w:ascii="仿宋_GB2312" w:eastAsia="仿宋_GB2312" w:cs="仿宋" w:hAnsiTheme="minorEastAsia"/>
          <w:b/>
          <w:w w:val="90"/>
          <w:sz w:val="28"/>
          <w:szCs w:val="28"/>
          <w:highlight w:val="none"/>
        </w:rPr>
        <w:t>受托方：</w:t>
      </w:r>
      <w:r>
        <w:rPr>
          <w:rFonts w:hint="eastAsia" w:ascii="仿宋_GB2312" w:eastAsia="仿宋_GB2312" w:cs="仿宋" w:hAnsiTheme="minorEastAsia"/>
          <w:b/>
          <w:w w:val="90"/>
          <w:sz w:val="28"/>
          <w:szCs w:val="28"/>
          <w:highlight w:val="none"/>
          <w:u w:val="single"/>
        </w:rPr>
        <w:t xml:space="preserve"> </w:t>
      </w:r>
      <w:r>
        <w:rPr>
          <w:rFonts w:hint="eastAsia" w:ascii="仿宋_GB2312" w:eastAsia="仿宋_GB2312" w:cs="仿宋" w:hAnsiTheme="minorEastAsia"/>
          <w:w w:val="90"/>
          <w:sz w:val="28"/>
          <w:szCs w:val="28"/>
          <w:highlight w:val="none"/>
          <w:u w:val="single"/>
        </w:rPr>
        <w:t xml:space="preserve">                     </w:t>
      </w:r>
    </w:p>
    <w:p w14:paraId="128E3072">
      <w:pPr>
        <w:spacing w:line="360" w:lineRule="auto"/>
        <w:ind w:firstLine="2016" w:firstLineChars="800"/>
        <w:rPr>
          <w:rFonts w:hint="eastAsia" w:ascii="仿宋_GB2312" w:eastAsia="仿宋_GB2312" w:cs="仿宋" w:hAnsiTheme="minorEastAsia"/>
          <w:sz w:val="28"/>
          <w:szCs w:val="28"/>
          <w:highlight w:val="none"/>
          <w:u w:val="single"/>
        </w:rPr>
      </w:pPr>
      <w:r>
        <w:rPr>
          <w:rFonts w:hint="eastAsia" w:ascii="仿宋_GB2312" w:eastAsia="仿宋_GB2312" w:cs="仿宋" w:hAnsiTheme="minorEastAsia"/>
          <w:b/>
          <w:w w:val="90"/>
          <w:sz w:val="28"/>
          <w:szCs w:val="28"/>
          <w:highlight w:val="none"/>
        </w:rPr>
        <w:t>日  期：</w:t>
      </w:r>
      <w:r>
        <w:rPr>
          <w:rFonts w:hint="eastAsia" w:ascii="仿宋_GB2312" w:eastAsia="仿宋_GB2312" w:cs="仿宋" w:hAnsiTheme="minorEastAsia"/>
          <w:b/>
          <w:w w:val="90"/>
          <w:sz w:val="28"/>
          <w:szCs w:val="28"/>
          <w:highlight w:val="none"/>
          <w:u w:val="single"/>
        </w:rPr>
        <w:t xml:space="preserve">                      </w:t>
      </w:r>
    </w:p>
    <w:p w14:paraId="56DD8112">
      <w:pPr>
        <w:rPr>
          <w:rFonts w:ascii="Times New Roman" w:hAnsi="Times New Roman"/>
          <w:sz w:val="24"/>
          <w:highlight w:val="none"/>
        </w:rPr>
      </w:pPr>
      <w:r>
        <w:rPr>
          <w:rFonts w:ascii="Times New Roman" w:hAnsi="Times New Roman"/>
          <w:sz w:val="24"/>
          <w:highlight w:val="none"/>
        </w:rPr>
        <w:br w:type="page"/>
      </w:r>
    </w:p>
    <w:p w14:paraId="06A3CF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cs="仿宋" w:hAnsiTheme="minorEastAsia"/>
          <w:sz w:val="36"/>
          <w:szCs w:val="36"/>
          <w:highlight w:val="none"/>
        </w:rPr>
      </w:pPr>
      <w:r>
        <w:rPr>
          <w:rFonts w:hint="eastAsia" w:ascii="仿宋_GB2312" w:eastAsia="仿宋_GB2312" w:cs="仿宋" w:hAnsiTheme="minorEastAsia"/>
          <w:sz w:val="36"/>
          <w:szCs w:val="36"/>
          <w:highlight w:val="none"/>
        </w:rPr>
        <w:t>青浦区华新镇安联明悦邸（安联·虹悦）</w:t>
      </w:r>
    </w:p>
    <w:p w14:paraId="767B5E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cs="仿宋" w:hAnsiTheme="minorEastAsia"/>
          <w:sz w:val="36"/>
          <w:szCs w:val="36"/>
          <w:highlight w:val="none"/>
        </w:rPr>
      </w:pPr>
      <w:r>
        <w:rPr>
          <w:rFonts w:hint="eastAsia" w:ascii="仿宋_GB2312" w:eastAsia="仿宋_GB2312" w:cs="仿宋" w:hAnsiTheme="minorEastAsia"/>
          <w:sz w:val="36"/>
          <w:szCs w:val="36"/>
          <w:highlight w:val="none"/>
        </w:rPr>
        <w:t>2025年</w:t>
      </w:r>
      <w:r>
        <w:rPr>
          <w:rFonts w:hint="eastAsia" w:ascii="仿宋_GB2312" w:eastAsia="仿宋_GB2312" w:cs="仿宋" w:hAnsiTheme="minorEastAsia"/>
          <w:sz w:val="36"/>
          <w:szCs w:val="36"/>
          <w:highlight w:val="none"/>
          <w:lang w:eastAsia="zh-CN"/>
        </w:rPr>
        <w:t>拓客</w:t>
      </w:r>
      <w:r>
        <w:rPr>
          <w:rFonts w:hint="eastAsia" w:ascii="仿宋_GB2312" w:eastAsia="仿宋_GB2312" w:cs="仿宋" w:hAnsiTheme="minorEastAsia"/>
          <w:sz w:val="36"/>
          <w:szCs w:val="36"/>
          <w:highlight w:val="none"/>
        </w:rPr>
        <w:t>礼品采购</w:t>
      </w:r>
    </w:p>
    <w:p w14:paraId="36A2764C">
      <w:pPr>
        <w:spacing w:line="360" w:lineRule="exact"/>
        <w:jc w:val="center"/>
        <w:rPr>
          <w:rFonts w:hint="eastAsia" w:ascii="宋体" w:hAnsi="宋体" w:eastAsia="宋体" w:cs="仿宋"/>
          <w:sz w:val="18"/>
          <w:szCs w:val="18"/>
          <w:highlight w:val="none"/>
        </w:rPr>
      </w:pPr>
      <w:r>
        <w:rPr>
          <w:rFonts w:hint="eastAsia" w:ascii="宋体" w:hAnsi="宋体" w:eastAsia="宋体" w:cs="仿宋"/>
          <w:sz w:val="18"/>
          <w:szCs w:val="18"/>
          <w:highlight w:val="none"/>
        </w:rPr>
        <w:t>【</w:t>
      </w:r>
      <w:r>
        <w:rPr>
          <w:rFonts w:hint="eastAsia" w:ascii="宋体" w:hAnsi="宋体" w:eastAsia="宋体" w:cs="仿宋"/>
          <w:b/>
          <w:w w:val="90"/>
          <w:sz w:val="18"/>
          <w:szCs w:val="18"/>
          <w:highlight w:val="none"/>
        </w:rPr>
        <w:t>合同编号：</w:t>
      </w:r>
      <w:r>
        <w:rPr>
          <w:rFonts w:hint="eastAsia" w:ascii="宋体" w:hAnsi="宋体" w:eastAsia="宋体" w:cs="仿宋"/>
          <w:sz w:val="18"/>
          <w:szCs w:val="18"/>
          <w:highlight w:val="none"/>
          <w:u w:val="single"/>
        </w:rPr>
        <w:t xml:space="preserve">                       </w:t>
      </w:r>
      <w:r>
        <w:rPr>
          <w:rFonts w:hint="eastAsia" w:ascii="宋体" w:hAnsi="宋体" w:eastAsia="宋体" w:cs="仿宋"/>
          <w:sz w:val="18"/>
          <w:szCs w:val="18"/>
          <w:highlight w:val="none"/>
        </w:rPr>
        <w:t>】</w:t>
      </w:r>
    </w:p>
    <w:tbl>
      <w:tblPr>
        <w:tblStyle w:val="19"/>
        <w:tblpPr w:leftFromText="180" w:rightFromText="180" w:vertAnchor="text" w:horzAnchor="page" w:tblpX="1410" w:tblpY="259"/>
        <w:tblOverlap w:val="never"/>
        <w:tblW w:w="90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01"/>
        <w:gridCol w:w="4451"/>
      </w:tblGrid>
      <w:tr w14:paraId="27BA7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4601" w:type="dxa"/>
            <w:tcBorders>
              <w:top w:val="single" w:color="auto" w:sz="12" w:space="0"/>
              <w:bottom w:val="single" w:color="auto" w:sz="12" w:space="0"/>
            </w:tcBorders>
          </w:tcPr>
          <w:p w14:paraId="11A10533">
            <w:pPr>
              <w:spacing w:line="360" w:lineRule="exact"/>
              <w:rPr>
                <w:rFonts w:hint="eastAsia" w:ascii="宋体" w:hAnsi="宋体" w:eastAsia="宋体" w:cs="仿宋"/>
                <w:sz w:val="18"/>
                <w:szCs w:val="18"/>
                <w:highlight w:val="none"/>
              </w:rPr>
            </w:pPr>
            <w:r>
              <w:rPr>
                <w:rFonts w:hint="eastAsia" w:ascii="宋体" w:hAnsi="宋体" w:eastAsia="宋体" w:cs="仿宋"/>
                <w:b/>
                <w:sz w:val="18"/>
                <w:szCs w:val="18"/>
                <w:highlight w:val="none"/>
              </w:rPr>
              <w:t>委托方</w:t>
            </w:r>
            <w:r>
              <w:rPr>
                <w:rFonts w:hint="eastAsia" w:ascii="宋体" w:hAnsi="宋体" w:eastAsia="宋体" w:cs="仿宋"/>
                <w:sz w:val="18"/>
                <w:szCs w:val="18"/>
                <w:highlight w:val="none"/>
              </w:rPr>
              <w:t>：（以下简称甲方）</w:t>
            </w:r>
          </w:p>
          <w:p w14:paraId="695122DB">
            <w:pPr>
              <w:spacing w:line="360" w:lineRule="exact"/>
              <w:ind w:left="443" w:hanging="441" w:hangingChars="245"/>
              <w:rPr>
                <w:rFonts w:hint="eastAsia" w:ascii="宋体" w:hAnsi="宋体" w:eastAsia="宋体" w:cs="仿宋"/>
                <w:sz w:val="18"/>
                <w:szCs w:val="18"/>
                <w:highlight w:val="none"/>
              </w:rPr>
            </w:pPr>
            <w:r>
              <w:rPr>
                <w:rFonts w:hint="eastAsia" w:ascii="宋体" w:hAnsi="宋体" w:eastAsia="宋体" w:cs="仿宋"/>
                <w:b/>
                <w:sz w:val="18"/>
                <w:szCs w:val="18"/>
                <w:highlight w:val="none"/>
              </w:rPr>
              <w:t>地址：</w:t>
            </w:r>
          </w:p>
          <w:p w14:paraId="68B327A3">
            <w:pPr>
              <w:spacing w:line="360" w:lineRule="exact"/>
              <w:rPr>
                <w:rFonts w:hint="eastAsia" w:ascii="宋体" w:hAnsi="宋体" w:eastAsia="宋体" w:cs="仿宋"/>
                <w:sz w:val="18"/>
                <w:szCs w:val="18"/>
                <w:highlight w:val="none"/>
              </w:rPr>
            </w:pPr>
            <w:r>
              <w:rPr>
                <w:rFonts w:hint="eastAsia" w:ascii="宋体" w:hAnsi="宋体" w:eastAsia="宋体" w:cs="仿宋"/>
                <w:b/>
                <w:sz w:val="18"/>
                <w:szCs w:val="18"/>
                <w:highlight w:val="none"/>
              </w:rPr>
              <w:t>邮编</w:t>
            </w:r>
            <w:r>
              <w:rPr>
                <w:rFonts w:hint="eastAsia" w:ascii="宋体" w:hAnsi="宋体" w:eastAsia="宋体" w:cs="仿宋"/>
                <w:sz w:val="18"/>
                <w:szCs w:val="18"/>
                <w:highlight w:val="none"/>
              </w:rPr>
              <w:t xml:space="preserve">：                                                                                        </w:t>
            </w:r>
          </w:p>
          <w:p w14:paraId="3C0490A0">
            <w:pPr>
              <w:spacing w:line="360" w:lineRule="exact"/>
              <w:rPr>
                <w:rFonts w:hint="eastAsia" w:ascii="宋体" w:hAnsi="宋体" w:eastAsia="宋体" w:cs="仿宋"/>
                <w:sz w:val="18"/>
                <w:szCs w:val="18"/>
                <w:highlight w:val="none"/>
              </w:rPr>
            </w:pPr>
            <w:r>
              <w:rPr>
                <w:rFonts w:hint="eastAsia" w:ascii="宋体" w:hAnsi="宋体" w:eastAsia="宋体" w:cs="仿宋"/>
                <w:b/>
                <w:sz w:val="18"/>
                <w:szCs w:val="18"/>
                <w:highlight w:val="none"/>
              </w:rPr>
              <w:t>电话</w:t>
            </w:r>
            <w:r>
              <w:rPr>
                <w:rFonts w:hint="eastAsia" w:ascii="宋体" w:hAnsi="宋体" w:eastAsia="宋体" w:cs="仿宋"/>
                <w:sz w:val="18"/>
                <w:szCs w:val="18"/>
                <w:highlight w:val="none"/>
              </w:rPr>
              <w:t>：</w:t>
            </w:r>
          </w:p>
        </w:tc>
        <w:tc>
          <w:tcPr>
            <w:tcW w:w="4451" w:type="dxa"/>
            <w:tcBorders>
              <w:top w:val="single" w:color="auto" w:sz="12" w:space="0"/>
              <w:bottom w:val="single" w:color="auto" w:sz="12" w:space="0"/>
            </w:tcBorders>
          </w:tcPr>
          <w:p w14:paraId="162D1FFF">
            <w:pPr>
              <w:autoSpaceDE w:val="0"/>
              <w:autoSpaceDN w:val="0"/>
              <w:adjustRightInd w:val="0"/>
              <w:spacing w:line="360" w:lineRule="exact"/>
              <w:rPr>
                <w:rFonts w:hint="eastAsia" w:ascii="宋体" w:hAnsi="宋体" w:eastAsia="宋体" w:cs="仿宋"/>
                <w:b/>
                <w:color w:val="000000" w:themeColor="text1"/>
                <w:sz w:val="18"/>
                <w:szCs w:val="18"/>
                <w:highlight w:val="none"/>
                <w14:textFill>
                  <w14:solidFill>
                    <w14:schemeClr w14:val="tx1"/>
                  </w14:solidFill>
                </w14:textFill>
              </w:rPr>
            </w:pPr>
            <w:r>
              <w:rPr>
                <w:rFonts w:hint="eastAsia" w:ascii="宋体" w:hAnsi="宋体" w:eastAsia="宋体" w:cs="仿宋"/>
                <w:b/>
                <w:sz w:val="18"/>
                <w:szCs w:val="18"/>
                <w:highlight w:val="none"/>
              </w:rPr>
              <w:t>受托方：</w:t>
            </w:r>
            <w:r>
              <w:rPr>
                <w:rFonts w:hint="eastAsia" w:ascii="宋体" w:hAnsi="宋体" w:eastAsia="宋体" w:cs="仿宋"/>
                <w:color w:val="000000" w:themeColor="text1"/>
                <w:sz w:val="18"/>
                <w:szCs w:val="18"/>
                <w:highlight w:val="none"/>
                <w14:textFill>
                  <w14:solidFill>
                    <w14:schemeClr w14:val="tx1"/>
                  </w14:solidFill>
                </w14:textFill>
              </w:rPr>
              <w:t>（以下简称乙方）</w:t>
            </w:r>
          </w:p>
          <w:p w14:paraId="5C313341">
            <w:pPr>
              <w:spacing w:line="360" w:lineRule="exact"/>
              <w:rPr>
                <w:rFonts w:hint="eastAsia" w:ascii="宋体" w:hAnsi="宋体" w:eastAsia="宋体" w:cs="仿宋"/>
                <w:bCs/>
                <w:color w:val="000000" w:themeColor="text1"/>
                <w:sz w:val="18"/>
                <w:szCs w:val="18"/>
                <w:highlight w:val="none"/>
                <w14:textFill>
                  <w14:solidFill>
                    <w14:schemeClr w14:val="tx1"/>
                  </w14:solidFill>
                </w14:textFill>
              </w:rPr>
            </w:pPr>
            <w:r>
              <w:rPr>
                <w:rFonts w:hint="eastAsia" w:ascii="宋体" w:hAnsi="宋体" w:eastAsia="宋体" w:cs="仿宋"/>
                <w:b/>
                <w:color w:val="000000" w:themeColor="text1"/>
                <w:sz w:val="18"/>
                <w:szCs w:val="18"/>
                <w:highlight w:val="none"/>
                <w14:textFill>
                  <w14:solidFill>
                    <w14:schemeClr w14:val="tx1"/>
                  </w14:solidFill>
                </w14:textFill>
              </w:rPr>
              <w:t>地址：</w:t>
            </w:r>
          </w:p>
          <w:p w14:paraId="6688389A">
            <w:pPr>
              <w:autoSpaceDE w:val="0"/>
              <w:autoSpaceDN w:val="0"/>
              <w:adjustRightInd w:val="0"/>
              <w:spacing w:line="360" w:lineRule="exact"/>
              <w:ind w:right="-962"/>
              <w:rPr>
                <w:rFonts w:hint="eastAsia" w:ascii="宋体" w:hAnsi="宋体" w:eastAsia="宋体" w:cs="仿宋"/>
                <w:color w:val="000000" w:themeColor="text1"/>
                <w:sz w:val="18"/>
                <w:szCs w:val="18"/>
                <w:highlight w:val="none"/>
                <w14:textFill>
                  <w14:solidFill>
                    <w14:schemeClr w14:val="tx1"/>
                  </w14:solidFill>
                </w14:textFill>
              </w:rPr>
            </w:pPr>
            <w:r>
              <w:rPr>
                <w:rFonts w:hint="eastAsia" w:ascii="宋体" w:hAnsi="宋体" w:eastAsia="宋体" w:cs="仿宋"/>
                <w:b/>
                <w:color w:val="000000" w:themeColor="text1"/>
                <w:sz w:val="18"/>
                <w:szCs w:val="18"/>
                <w:highlight w:val="none"/>
                <w14:textFill>
                  <w14:solidFill>
                    <w14:schemeClr w14:val="tx1"/>
                  </w14:solidFill>
                </w14:textFill>
              </w:rPr>
              <w:t>邮编</w:t>
            </w:r>
            <w:r>
              <w:rPr>
                <w:rFonts w:hint="eastAsia" w:ascii="宋体" w:hAnsi="宋体" w:eastAsia="宋体" w:cs="仿宋"/>
                <w:color w:val="000000" w:themeColor="text1"/>
                <w:sz w:val="18"/>
                <w:szCs w:val="18"/>
                <w:highlight w:val="none"/>
                <w14:textFill>
                  <w14:solidFill>
                    <w14:schemeClr w14:val="tx1"/>
                  </w14:solidFill>
                </w14:textFill>
              </w:rPr>
              <w:t>：</w:t>
            </w:r>
          </w:p>
          <w:p w14:paraId="12F04CAE">
            <w:pPr>
              <w:spacing w:line="360" w:lineRule="exact"/>
              <w:rPr>
                <w:rFonts w:hint="eastAsia" w:ascii="宋体" w:hAnsi="宋体" w:eastAsia="宋体" w:cs="仿宋"/>
                <w:color w:val="000000" w:themeColor="text1"/>
                <w:sz w:val="18"/>
                <w:szCs w:val="18"/>
                <w:highlight w:val="none"/>
                <w14:textFill>
                  <w14:solidFill>
                    <w14:schemeClr w14:val="tx1"/>
                  </w14:solidFill>
                </w14:textFill>
              </w:rPr>
            </w:pPr>
            <w:r>
              <w:rPr>
                <w:rFonts w:hint="eastAsia" w:ascii="宋体" w:hAnsi="宋体" w:eastAsia="宋体" w:cs="仿宋"/>
                <w:b/>
                <w:color w:val="000000" w:themeColor="text1"/>
                <w:sz w:val="18"/>
                <w:szCs w:val="18"/>
                <w:highlight w:val="none"/>
                <w14:textFill>
                  <w14:solidFill>
                    <w14:schemeClr w14:val="tx1"/>
                  </w14:solidFill>
                </w14:textFill>
              </w:rPr>
              <w:t>电话</w:t>
            </w:r>
            <w:r>
              <w:rPr>
                <w:rFonts w:hint="eastAsia" w:ascii="宋体" w:hAnsi="宋体" w:eastAsia="宋体" w:cs="仿宋"/>
                <w:color w:val="000000" w:themeColor="text1"/>
                <w:sz w:val="18"/>
                <w:szCs w:val="18"/>
                <w:highlight w:val="none"/>
                <w14:textFill>
                  <w14:solidFill>
                    <w14:schemeClr w14:val="tx1"/>
                  </w14:solidFill>
                </w14:textFill>
              </w:rPr>
              <w:t>：</w:t>
            </w:r>
          </w:p>
        </w:tc>
      </w:tr>
    </w:tbl>
    <w:p w14:paraId="3BC524F5">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根据《中华人民共和国民法典》及相关法律法规的规定，甲乙双方在平等、自愿、公平、协商一致的基础上，就甲方委托乙方提供</w:t>
      </w:r>
      <w:r>
        <w:rPr>
          <w:rFonts w:hint="eastAsia" w:ascii="宋体" w:hAnsi="宋体" w:eastAsia="宋体" w:cs="宋体"/>
          <w:sz w:val="18"/>
          <w:szCs w:val="18"/>
          <w:highlight w:val="none"/>
          <w:u w:val="single"/>
        </w:rPr>
        <w:t xml:space="preserve"> 青浦区华新镇安联明悦邸（安联·虹悦）2025年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 xml:space="preserve">礼品采购 </w:t>
      </w:r>
      <w:r>
        <w:rPr>
          <w:rFonts w:hint="eastAsia" w:ascii="宋体" w:hAnsi="宋体" w:eastAsia="宋体" w:cs="宋体"/>
          <w:sz w:val="18"/>
          <w:szCs w:val="18"/>
          <w:highlight w:val="none"/>
        </w:rPr>
        <w:t>供货服务的有关事宜达成如下协议：</w:t>
      </w:r>
    </w:p>
    <w:p w14:paraId="14B25EE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1.货物采购内容</w:t>
      </w:r>
    </w:p>
    <w:p w14:paraId="1014E11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1.1甲方委托乙方提供</w:t>
      </w:r>
      <w:bookmarkEnd w:id="158"/>
      <w:r>
        <w:rPr>
          <w:rFonts w:hint="eastAsia" w:ascii="宋体" w:hAnsi="宋体" w:eastAsia="宋体" w:cs="宋体"/>
          <w:sz w:val="18"/>
          <w:szCs w:val="18"/>
          <w:highlight w:val="none"/>
        </w:rPr>
        <w:t>的货物类别、品牌型号、数量和价格如下表。</w:t>
      </w:r>
    </w:p>
    <w:tbl>
      <w:tblPr>
        <w:tblStyle w:val="19"/>
        <w:tblW w:w="8978" w:type="dxa"/>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3279"/>
        <w:gridCol w:w="868"/>
        <w:gridCol w:w="791"/>
        <w:gridCol w:w="1327"/>
        <w:gridCol w:w="2098"/>
      </w:tblGrid>
      <w:tr w14:paraId="39D2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snapToGrid w:val="0"/>
                <w:color w:val="000000"/>
                <w:kern w:val="0"/>
                <w:sz w:val="15"/>
                <w:szCs w:val="15"/>
                <w:u w:val="none"/>
                <w:lang w:val="en-US" w:eastAsia="zh-CN" w:bidi="ar"/>
              </w:rPr>
              <w:t>序号</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6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snapToGrid w:val="0"/>
                <w:color w:val="000000"/>
                <w:kern w:val="0"/>
                <w:sz w:val="15"/>
                <w:szCs w:val="15"/>
                <w:u w:val="none"/>
                <w:lang w:val="en-US" w:eastAsia="zh-CN" w:bidi="ar"/>
              </w:rPr>
              <w:t>内容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snapToGrid w:val="0"/>
                <w:color w:val="000000"/>
                <w:kern w:val="0"/>
                <w:sz w:val="15"/>
                <w:szCs w:val="15"/>
                <w:u w:val="none"/>
                <w:lang w:val="en-US" w:eastAsia="zh-CN" w:bidi="ar"/>
              </w:rPr>
              <w:t>数量</w:t>
            </w:r>
            <w:r>
              <w:rPr>
                <w:rFonts w:hint="eastAsia" w:ascii="微软雅黑" w:hAnsi="微软雅黑" w:eastAsia="微软雅黑" w:cs="微软雅黑"/>
                <w:b/>
                <w:bCs/>
                <w:i w:val="0"/>
                <w:iCs w:val="0"/>
                <w:snapToGrid w:val="0"/>
                <w:color w:val="000000"/>
                <w:kern w:val="0"/>
                <w:sz w:val="15"/>
                <w:szCs w:val="15"/>
                <w:u w:val="none"/>
                <w:lang w:val="en-US" w:eastAsia="zh-CN" w:bidi="ar"/>
              </w:rPr>
              <w:br w:type="textWrapping"/>
            </w:r>
            <w:r>
              <w:rPr>
                <w:rFonts w:hint="eastAsia" w:ascii="微软雅黑" w:hAnsi="微软雅黑" w:eastAsia="微软雅黑" w:cs="微软雅黑"/>
                <w:b/>
                <w:bCs/>
                <w:i w:val="0"/>
                <w:iCs w:val="0"/>
                <w:snapToGrid w:val="0"/>
                <w:color w:val="000000"/>
                <w:kern w:val="0"/>
                <w:sz w:val="15"/>
                <w:szCs w:val="15"/>
                <w:u w:val="none"/>
                <w:lang w:val="en-US" w:eastAsia="zh-CN" w:bidi="ar"/>
              </w:rPr>
              <w:t>（A）</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7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snapToGrid w:val="0"/>
                <w:color w:val="000000"/>
                <w:kern w:val="0"/>
                <w:sz w:val="15"/>
                <w:szCs w:val="15"/>
                <w:u w:val="none"/>
                <w:lang w:val="en-US" w:eastAsia="zh-CN" w:bidi="ar"/>
              </w:rPr>
              <w:t>单位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9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snapToGrid w:val="0"/>
                <w:color w:val="000000"/>
                <w:kern w:val="0"/>
                <w:sz w:val="15"/>
                <w:szCs w:val="15"/>
                <w:u w:val="none"/>
                <w:lang w:val="en-US" w:eastAsia="zh-CN" w:bidi="ar"/>
              </w:rPr>
            </w:pPr>
            <w:r>
              <w:rPr>
                <w:rFonts w:hint="eastAsia" w:ascii="微软雅黑" w:hAnsi="微软雅黑" w:eastAsia="微软雅黑" w:cs="微软雅黑"/>
                <w:b/>
                <w:bCs/>
                <w:i w:val="0"/>
                <w:iCs w:val="0"/>
                <w:snapToGrid w:val="0"/>
                <w:color w:val="000000"/>
                <w:kern w:val="0"/>
                <w:sz w:val="15"/>
                <w:szCs w:val="15"/>
                <w:u w:val="none"/>
                <w:lang w:val="en-US" w:eastAsia="zh-CN" w:bidi="ar"/>
              </w:rPr>
              <w:t>含税单价</w:t>
            </w:r>
          </w:p>
          <w:p w14:paraId="393BA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snapToGrid w:val="0"/>
                <w:color w:val="000000"/>
                <w:kern w:val="0"/>
                <w:sz w:val="15"/>
                <w:szCs w:val="15"/>
                <w:u w:val="none"/>
                <w:lang w:val="en-US" w:eastAsia="zh-CN" w:bidi="ar"/>
              </w:rPr>
              <w:t>（B）</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snapToGrid w:val="0"/>
                <w:color w:val="000000"/>
                <w:kern w:val="0"/>
                <w:sz w:val="15"/>
                <w:szCs w:val="15"/>
                <w:u w:val="none"/>
                <w:lang w:val="en-US" w:eastAsia="zh-CN" w:bidi="ar"/>
              </w:rPr>
              <w:t>含税总价</w:t>
            </w:r>
            <w:r>
              <w:rPr>
                <w:rFonts w:hint="eastAsia" w:ascii="微软雅黑" w:hAnsi="微软雅黑" w:eastAsia="微软雅黑" w:cs="微软雅黑"/>
                <w:b/>
                <w:bCs/>
                <w:i w:val="0"/>
                <w:iCs w:val="0"/>
                <w:snapToGrid w:val="0"/>
                <w:color w:val="000000"/>
                <w:kern w:val="0"/>
                <w:sz w:val="15"/>
                <w:szCs w:val="15"/>
                <w:u w:val="none"/>
                <w:lang w:val="en-US" w:eastAsia="zh-CN" w:bidi="ar"/>
              </w:rPr>
              <w:br w:type="textWrapping"/>
            </w:r>
            <w:r>
              <w:rPr>
                <w:rFonts w:hint="eastAsia" w:ascii="微软雅黑" w:hAnsi="微软雅黑" w:eastAsia="微软雅黑" w:cs="微软雅黑"/>
                <w:b/>
                <w:bCs/>
                <w:i w:val="0"/>
                <w:iCs w:val="0"/>
                <w:snapToGrid w:val="0"/>
                <w:color w:val="000000"/>
                <w:kern w:val="0"/>
                <w:sz w:val="15"/>
                <w:szCs w:val="15"/>
                <w:u w:val="none"/>
                <w:lang w:val="en-US" w:eastAsia="zh-CN" w:bidi="ar"/>
              </w:rPr>
              <w:t>（A*B）</w:t>
            </w:r>
          </w:p>
        </w:tc>
      </w:tr>
      <w:tr w14:paraId="442B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62D">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1</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D6A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定制玛戈隆特便携旅行茶具套装（骨瓷，西湖盛宴款/远山款，一壶两杯）</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95BB">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150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E43D">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8E74">
            <w:pPr>
              <w:jc w:val="center"/>
              <w:rPr>
                <w:rFonts w:hint="eastAsia" w:ascii="微软雅黑" w:hAnsi="微软雅黑" w:eastAsia="微软雅黑" w:cs="微软雅黑"/>
                <w:i w:val="0"/>
                <w:iCs w:val="0"/>
                <w:color w:val="000000"/>
                <w:sz w:val="15"/>
                <w:szCs w:val="15"/>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58CF">
            <w:pPr>
              <w:jc w:val="center"/>
              <w:rPr>
                <w:rFonts w:hint="eastAsia" w:ascii="微软雅黑" w:hAnsi="微软雅黑" w:eastAsia="微软雅黑" w:cs="微软雅黑"/>
                <w:i w:val="0"/>
                <w:iCs w:val="0"/>
                <w:color w:val="000000"/>
                <w:sz w:val="15"/>
                <w:szCs w:val="15"/>
                <w:u w:val="none"/>
              </w:rPr>
            </w:pPr>
          </w:p>
        </w:tc>
      </w:tr>
      <w:tr w14:paraId="5B04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8FD">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2</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BBB6">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定制膳魔师（THERMOS）保温杯（400ml，带茶滤，入夜棕/玄黑/珍珠白/岁月茶金）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ACF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150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44B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626D">
            <w:pPr>
              <w:jc w:val="center"/>
              <w:rPr>
                <w:rFonts w:hint="eastAsia" w:ascii="微软雅黑" w:hAnsi="微软雅黑" w:eastAsia="微软雅黑" w:cs="微软雅黑"/>
                <w:i w:val="0"/>
                <w:iCs w:val="0"/>
                <w:color w:val="000000"/>
                <w:sz w:val="15"/>
                <w:szCs w:val="15"/>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1AE2">
            <w:pPr>
              <w:jc w:val="center"/>
              <w:rPr>
                <w:rFonts w:hint="eastAsia" w:ascii="微软雅黑" w:hAnsi="微软雅黑" w:eastAsia="微软雅黑" w:cs="微软雅黑"/>
                <w:i w:val="0"/>
                <w:iCs w:val="0"/>
                <w:color w:val="000000"/>
                <w:sz w:val="15"/>
                <w:szCs w:val="15"/>
                <w:u w:val="none"/>
              </w:rPr>
            </w:pPr>
          </w:p>
        </w:tc>
      </w:tr>
      <w:tr w14:paraId="4A21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87C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3</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E03">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定制摩飞车载吸尘器(MR3936，无线便携手持款，椰奶白/铁灰色）</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DD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0351">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台</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AD5B">
            <w:pPr>
              <w:jc w:val="center"/>
              <w:rPr>
                <w:rFonts w:hint="eastAsia" w:ascii="微软雅黑" w:hAnsi="微软雅黑" w:eastAsia="微软雅黑" w:cs="微软雅黑"/>
                <w:i w:val="0"/>
                <w:iCs w:val="0"/>
                <w:color w:val="000000"/>
                <w:sz w:val="15"/>
                <w:szCs w:val="15"/>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66D9">
            <w:pPr>
              <w:jc w:val="center"/>
              <w:rPr>
                <w:rFonts w:hint="eastAsia" w:ascii="微软雅黑" w:hAnsi="微软雅黑" w:eastAsia="微软雅黑" w:cs="微软雅黑"/>
                <w:i w:val="0"/>
                <w:iCs w:val="0"/>
                <w:color w:val="000000"/>
                <w:sz w:val="15"/>
                <w:szCs w:val="15"/>
                <w:u w:val="none"/>
              </w:rPr>
            </w:pPr>
          </w:p>
        </w:tc>
      </w:tr>
      <w:tr w14:paraId="141F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DAA6">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4</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FE6">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定制松下（Panasonic）冲牙器（DJ33， 白 /蓝/绿/粉）</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881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150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FFE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台</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7AD0">
            <w:pPr>
              <w:jc w:val="center"/>
              <w:rPr>
                <w:rFonts w:hint="eastAsia" w:ascii="微软雅黑" w:hAnsi="微软雅黑" w:eastAsia="微软雅黑" w:cs="微软雅黑"/>
                <w:i w:val="0"/>
                <w:iCs w:val="0"/>
                <w:color w:val="000000"/>
                <w:sz w:val="15"/>
                <w:szCs w:val="15"/>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EDFC">
            <w:pPr>
              <w:jc w:val="center"/>
              <w:rPr>
                <w:rFonts w:hint="eastAsia" w:ascii="微软雅黑" w:hAnsi="微软雅黑" w:eastAsia="微软雅黑" w:cs="微软雅黑"/>
                <w:i w:val="0"/>
                <w:iCs w:val="0"/>
                <w:color w:val="000000"/>
                <w:sz w:val="15"/>
                <w:szCs w:val="15"/>
                <w:u w:val="none"/>
              </w:rPr>
            </w:pPr>
          </w:p>
        </w:tc>
      </w:tr>
      <w:tr w14:paraId="3072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4AF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5</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CE0">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 xml:space="preserve">定制松下（Panasonic）暖风取暖器（DS-PF2027CW，升级石墨烯摇头遥控款）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975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99C0">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台</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1BD">
            <w:pPr>
              <w:jc w:val="center"/>
              <w:rPr>
                <w:rFonts w:hint="eastAsia" w:ascii="微软雅黑" w:hAnsi="微软雅黑" w:eastAsia="微软雅黑" w:cs="微软雅黑"/>
                <w:i w:val="0"/>
                <w:iCs w:val="0"/>
                <w:color w:val="000000"/>
                <w:sz w:val="15"/>
                <w:szCs w:val="15"/>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012B">
            <w:pPr>
              <w:jc w:val="center"/>
              <w:rPr>
                <w:rFonts w:hint="eastAsia" w:ascii="微软雅黑" w:hAnsi="微软雅黑" w:eastAsia="微软雅黑" w:cs="微软雅黑"/>
                <w:i w:val="0"/>
                <w:iCs w:val="0"/>
                <w:color w:val="000000"/>
                <w:sz w:val="15"/>
                <w:szCs w:val="15"/>
                <w:u w:val="none"/>
              </w:rPr>
            </w:pPr>
          </w:p>
        </w:tc>
      </w:tr>
      <w:tr w14:paraId="508E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C9CE">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6</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571">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定制松下（Panasonic）筋膜肌肉按摩器（RAD23旗舰小方盒，经典白/丁香紫）</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FEF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150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2A8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lang w:val="en-US" w:eastAsia="zh-CN" w:bidi="ar"/>
              </w:rPr>
              <w:t>台</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A6FE">
            <w:pPr>
              <w:jc w:val="center"/>
              <w:rPr>
                <w:rFonts w:hint="eastAsia" w:ascii="微软雅黑" w:hAnsi="微软雅黑" w:eastAsia="微软雅黑" w:cs="微软雅黑"/>
                <w:i w:val="0"/>
                <w:iCs w:val="0"/>
                <w:color w:val="000000"/>
                <w:sz w:val="15"/>
                <w:szCs w:val="15"/>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C8CA">
            <w:pPr>
              <w:jc w:val="center"/>
              <w:rPr>
                <w:rFonts w:hint="eastAsia" w:ascii="微软雅黑" w:hAnsi="微软雅黑" w:eastAsia="微软雅黑" w:cs="微软雅黑"/>
                <w:i w:val="0"/>
                <w:iCs w:val="0"/>
                <w:color w:val="000000"/>
                <w:sz w:val="15"/>
                <w:szCs w:val="15"/>
                <w:u w:val="none"/>
              </w:rPr>
            </w:pPr>
          </w:p>
        </w:tc>
      </w:tr>
      <w:tr w14:paraId="3547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2D18">
            <w:pPr>
              <w:keepNext w:val="0"/>
              <w:keepLines w:val="0"/>
              <w:widowControl/>
              <w:suppressLineNumbers w:val="0"/>
              <w:jc w:val="righ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含税总价：</w:t>
            </w: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2241">
            <w:pPr>
              <w:jc w:val="center"/>
              <w:rPr>
                <w:rFonts w:hint="eastAsia" w:ascii="微软雅黑" w:hAnsi="微软雅黑" w:eastAsia="微软雅黑" w:cs="微软雅黑"/>
                <w:b/>
                <w:bCs/>
                <w:i w:val="0"/>
                <w:iCs w:val="0"/>
                <w:color w:val="000000"/>
                <w:sz w:val="15"/>
                <w:szCs w:val="15"/>
                <w:u w:val="none"/>
              </w:rPr>
            </w:pPr>
          </w:p>
        </w:tc>
      </w:tr>
      <w:tr w14:paraId="3B60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FA95">
            <w:pPr>
              <w:keepNext w:val="0"/>
              <w:keepLines w:val="0"/>
              <w:widowControl/>
              <w:suppressLineNumbers w:val="0"/>
              <w:jc w:val="righ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税（        %）：</w:t>
            </w: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A30A">
            <w:pPr>
              <w:jc w:val="center"/>
              <w:rPr>
                <w:rFonts w:hint="eastAsia" w:ascii="微软雅黑" w:hAnsi="微软雅黑" w:eastAsia="微软雅黑" w:cs="微软雅黑"/>
                <w:b/>
                <w:bCs/>
                <w:i w:val="0"/>
                <w:iCs w:val="0"/>
                <w:color w:val="000000"/>
                <w:sz w:val="15"/>
                <w:szCs w:val="15"/>
                <w:u w:val="none"/>
              </w:rPr>
            </w:pPr>
          </w:p>
        </w:tc>
      </w:tr>
      <w:tr w14:paraId="5B65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3665">
            <w:pPr>
              <w:keepNext w:val="0"/>
              <w:keepLines w:val="0"/>
              <w:widowControl/>
              <w:suppressLineNumbers w:val="0"/>
              <w:jc w:val="righ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不含税总价：</w:t>
            </w: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79F2">
            <w:pPr>
              <w:jc w:val="center"/>
              <w:rPr>
                <w:rFonts w:hint="eastAsia" w:ascii="微软雅黑" w:hAnsi="微软雅黑" w:eastAsia="微软雅黑" w:cs="微软雅黑"/>
                <w:b/>
                <w:bCs/>
                <w:i w:val="0"/>
                <w:iCs w:val="0"/>
                <w:color w:val="000000"/>
                <w:sz w:val="15"/>
                <w:szCs w:val="15"/>
                <w:u w:val="none"/>
              </w:rPr>
            </w:pPr>
          </w:p>
        </w:tc>
      </w:tr>
    </w:tbl>
    <w:p w14:paraId="226D3425">
      <w:pPr>
        <w:spacing w:line="360" w:lineRule="exact"/>
        <w:ind w:firstLine="360" w:firstLineChars="200"/>
        <w:rPr>
          <w:rFonts w:hint="eastAsia" w:ascii="宋体" w:hAnsi="宋体" w:eastAsia="宋体"/>
          <w:sz w:val="18"/>
          <w:szCs w:val="18"/>
          <w:highlight w:val="none"/>
        </w:rPr>
      </w:pPr>
      <w:r>
        <w:rPr>
          <w:rFonts w:hint="eastAsia" w:ascii="宋体" w:hAnsi="宋体" w:eastAsia="宋体"/>
          <w:sz w:val="18"/>
          <w:szCs w:val="18"/>
          <w:highlight w:val="none"/>
        </w:rPr>
        <w:t>1.2上述含税单价及含税总价中已包括但不限于货物的</w:t>
      </w:r>
      <w:bookmarkStart w:id="159" w:name="_Hlk121513459"/>
      <w:r>
        <w:rPr>
          <w:rFonts w:hint="eastAsia" w:ascii="宋体" w:hAnsi="宋体" w:eastAsia="宋体"/>
          <w:sz w:val="18"/>
          <w:szCs w:val="18"/>
          <w:highlight w:val="none"/>
        </w:rPr>
        <w:t>原材料、生产、包装、</w:t>
      </w:r>
      <w:r>
        <w:rPr>
          <w:rFonts w:ascii="宋体" w:hAnsi="宋体" w:eastAsia="宋体"/>
          <w:sz w:val="18"/>
          <w:szCs w:val="18"/>
          <w:highlight w:val="none"/>
        </w:rPr>
        <w:t>运输</w:t>
      </w:r>
      <w:r>
        <w:rPr>
          <w:rFonts w:hint="eastAsia" w:ascii="宋体" w:hAnsi="宋体" w:eastAsia="宋体"/>
          <w:sz w:val="18"/>
          <w:szCs w:val="18"/>
          <w:highlight w:val="none"/>
        </w:rPr>
        <w:t>、保险、安装</w:t>
      </w:r>
      <w:r>
        <w:rPr>
          <w:rFonts w:ascii="宋体" w:hAnsi="宋体" w:eastAsia="宋体"/>
          <w:sz w:val="18"/>
          <w:szCs w:val="18"/>
          <w:highlight w:val="none"/>
        </w:rPr>
        <w:t>调试试运行</w:t>
      </w:r>
      <w:r>
        <w:rPr>
          <w:rFonts w:hint="eastAsia" w:ascii="宋体" w:hAnsi="宋体" w:eastAsia="宋体"/>
          <w:sz w:val="18"/>
          <w:szCs w:val="18"/>
          <w:highlight w:val="none"/>
        </w:rPr>
        <w:t>及所需的附属材料（如需）</w:t>
      </w:r>
      <w:r>
        <w:rPr>
          <w:rFonts w:ascii="宋体" w:hAnsi="宋体" w:eastAsia="宋体"/>
          <w:sz w:val="18"/>
          <w:szCs w:val="18"/>
          <w:highlight w:val="none"/>
        </w:rPr>
        <w:t>、报检验收</w:t>
      </w:r>
      <w:r>
        <w:rPr>
          <w:rFonts w:hint="eastAsia" w:ascii="宋体" w:hAnsi="宋体" w:eastAsia="宋体"/>
          <w:sz w:val="18"/>
          <w:szCs w:val="18"/>
          <w:highlight w:val="none"/>
        </w:rPr>
        <w:t>、利润、税</w:t>
      </w:r>
      <w:bookmarkEnd w:id="159"/>
      <w:r>
        <w:rPr>
          <w:rFonts w:hint="eastAsia" w:ascii="宋体" w:hAnsi="宋体" w:eastAsia="宋体"/>
          <w:sz w:val="18"/>
          <w:szCs w:val="18"/>
          <w:highlight w:val="none"/>
        </w:rPr>
        <w:t>费等</w:t>
      </w:r>
      <w:r>
        <w:rPr>
          <w:rFonts w:ascii="宋体" w:hAnsi="宋体" w:eastAsia="宋体"/>
          <w:sz w:val="18"/>
          <w:szCs w:val="18"/>
          <w:highlight w:val="none"/>
        </w:rPr>
        <w:t>一切相关费用</w:t>
      </w:r>
      <w:r>
        <w:rPr>
          <w:rFonts w:hint="eastAsia" w:ascii="宋体" w:hAnsi="宋体" w:eastAsia="宋体"/>
          <w:sz w:val="18"/>
          <w:szCs w:val="18"/>
          <w:highlight w:val="none"/>
        </w:rPr>
        <w:t>，甲方不须再向乙方支付其他款项</w:t>
      </w:r>
      <w:r>
        <w:rPr>
          <w:rFonts w:ascii="宋体" w:hAnsi="宋体" w:eastAsia="宋体"/>
          <w:sz w:val="18"/>
          <w:szCs w:val="18"/>
          <w:highlight w:val="none"/>
        </w:rPr>
        <w:t>。</w:t>
      </w:r>
    </w:p>
    <w:p w14:paraId="1AA1D1F9">
      <w:pPr>
        <w:spacing w:line="360" w:lineRule="exact"/>
        <w:ind w:firstLine="360" w:firstLineChars="200"/>
        <w:rPr>
          <w:rFonts w:hint="eastAsia" w:ascii="宋体" w:hAnsi="宋体" w:eastAsia="宋体"/>
          <w:sz w:val="18"/>
          <w:szCs w:val="18"/>
          <w:highlight w:val="none"/>
        </w:rPr>
      </w:pPr>
      <w:r>
        <w:rPr>
          <w:rFonts w:hint="eastAsia" w:ascii="宋体" w:hAnsi="宋体" w:eastAsia="宋体"/>
          <w:sz w:val="18"/>
          <w:szCs w:val="18"/>
          <w:highlight w:val="none"/>
        </w:rPr>
        <w:t>1.3特别约定：若甲方需求的产品数量超过本合同第1</w:t>
      </w:r>
      <w:r>
        <w:rPr>
          <w:rFonts w:ascii="宋体" w:hAnsi="宋体" w:eastAsia="宋体"/>
          <w:sz w:val="18"/>
          <w:szCs w:val="18"/>
          <w:highlight w:val="none"/>
        </w:rPr>
        <w:t>.1</w:t>
      </w:r>
      <w:r>
        <w:rPr>
          <w:rFonts w:hint="eastAsia" w:ascii="宋体" w:hAnsi="宋体" w:eastAsia="宋体"/>
          <w:sz w:val="18"/>
          <w:szCs w:val="18"/>
          <w:highlight w:val="none"/>
        </w:rPr>
        <w:t>条约定的产品数量的，则甲方有权按本合同约定的单价及合同约定，向乙方增购本合同第1</w:t>
      </w:r>
      <w:r>
        <w:rPr>
          <w:rFonts w:ascii="宋体" w:hAnsi="宋体" w:eastAsia="宋体"/>
          <w:sz w:val="18"/>
          <w:szCs w:val="18"/>
          <w:highlight w:val="none"/>
        </w:rPr>
        <w:t>.1</w:t>
      </w:r>
      <w:r>
        <w:rPr>
          <w:rFonts w:hint="eastAsia" w:ascii="宋体" w:hAnsi="宋体" w:eastAsia="宋体"/>
          <w:sz w:val="18"/>
          <w:szCs w:val="18"/>
          <w:highlight w:val="none"/>
        </w:rPr>
        <w:t>条约定的产品，乙方对此无异议；甲乙双方同意，甲方可以邮件方式向乙方发出增购产品的品名和数量，但甲乙双方应在邮件往来后续及时签订书面补充协议，甲方增购产品的品名、数量最终以甲乙双方另行签订的补偿协议为准，补充协议未涉及的内容均按本合同约定执行。</w:t>
      </w:r>
    </w:p>
    <w:p w14:paraId="4D010FF4">
      <w:pPr>
        <w:spacing w:line="360" w:lineRule="exact"/>
        <w:ind w:firstLine="360" w:firstLineChars="200"/>
        <w:rPr>
          <w:rFonts w:hint="eastAsia"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w:t>
      </w:r>
      <w:r>
        <w:rPr>
          <w:rFonts w:hint="eastAsia" w:ascii="宋体" w:hAnsi="宋体" w:eastAsia="宋体"/>
          <w:sz w:val="18"/>
          <w:szCs w:val="18"/>
          <w:highlight w:val="none"/>
        </w:rPr>
        <w:t>4甲方指定联系人【</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】，手机号【</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】，邮箱【</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】；乙方指定联系人【</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】，手机号【</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】，邮箱【</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w:t>
      </w:r>
    </w:p>
    <w:p w14:paraId="63C14CB6">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2.质量要求</w:t>
      </w:r>
    </w:p>
    <w:p w14:paraId="4585EB5B">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097AFDDB">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3.保修期限</w:t>
      </w:r>
    </w:p>
    <w:p w14:paraId="71CAB2C2">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乙方所供货物的保修期限</w:t>
      </w:r>
      <w:r>
        <w:rPr>
          <w:rFonts w:hint="eastAsia" w:ascii="宋体" w:hAnsi="宋体" w:eastAsia="宋体" w:cs="宋体"/>
          <w:sz w:val="18"/>
          <w:szCs w:val="18"/>
          <w:highlight w:val="none"/>
          <w:lang w:val="en-US" w:eastAsia="zh-CN"/>
        </w:rPr>
        <w:t>为</w:t>
      </w:r>
      <w:r>
        <w:rPr>
          <w:rFonts w:hint="eastAsia" w:ascii="宋体" w:hAnsi="宋体" w:eastAsia="宋体" w:cs="宋体"/>
          <w:sz w:val="18"/>
          <w:szCs w:val="18"/>
          <w:highlight w:val="none"/>
        </w:rPr>
        <w:t>：</w:t>
      </w:r>
      <w:r>
        <w:rPr>
          <w:rFonts w:hint="eastAsia" w:ascii="宋体" w:hAnsi="宋体" w:eastAsia="宋体" w:cs="宋体"/>
          <w:sz w:val="18"/>
          <w:szCs w:val="18"/>
          <w:highlight w:val="none"/>
          <w:u w:val="single"/>
        </w:rPr>
        <w:t xml:space="preserve"> 商品类货物为商品实际保修期为准，保修期自经甲方书面确认验收合格之日起算 </w:t>
      </w:r>
      <w:r>
        <w:rPr>
          <w:rFonts w:hint="eastAsia" w:ascii="宋体" w:hAnsi="宋体" w:eastAsia="宋体" w:cs="宋体"/>
          <w:sz w:val="18"/>
          <w:szCs w:val="18"/>
          <w:highlight w:val="none"/>
        </w:rPr>
        <w:t>。</w:t>
      </w:r>
    </w:p>
    <w:p w14:paraId="0ABA75E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4.交货地点：</w:t>
      </w:r>
      <w:r>
        <w:rPr>
          <w:rFonts w:hint="eastAsia" w:ascii="宋体" w:hAnsi="宋体" w:eastAsia="宋体" w:cs="宋体"/>
          <w:sz w:val="18"/>
          <w:szCs w:val="18"/>
          <w:highlight w:val="none"/>
          <w:u w:val="single"/>
        </w:rPr>
        <w:t xml:space="preserve"> </w:t>
      </w:r>
      <w:r>
        <w:rPr>
          <w:rFonts w:hint="eastAsia" w:ascii="宋体" w:hAnsi="宋体" w:eastAsia="宋体"/>
          <w:sz w:val="18"/>
          <w:szCs w:val="18"/>
          <w:highlight w:val="none"/>
          <w:u w:val="single"/>
        </w:rPr>
        <w:t>以采购人通知地点为准</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w:t>
      </w:r>
    </w:p>
    <w:p w14:paraId="196B80A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5.供货期限</w:t>
      </w:r>
    </w:p>
    <w:p w14:paraId="51FD446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本项目供货期限为：</w:t>
      </w:r>
      <w:r>
        <w:rPr>
          <w:rFonts w:hint="eastAsia" w:ascii="宋体" w:hAnsi="宋体" w:eastAsia="宋体" w:cs="宋体"/>
          <w:sz w:val="18"/>
          <w:szCs w:val="18"/>
          <w:highlight w:val="none"/>
          <w:u w:val="single"/>
        </w:rPr>
        <w:t>暂定为自合同签订之日起至202</w:t>
      </w:r>
      <w:r>
        <w:rPr>
          <w:rFonts w:hint="eastAsia" w:ascii="宋体" w:hAnsi="宋体" w:cs="宋体"/>
          <w:sz w:val="18"/>
          <w:szCs w:val="18"/>
          <w:highlight w:val="none"/>
          <w:u w:val="single"/>
          <w:lang w:val="en-US" w:eastAsia="zh-CN"/>
        </w:rPr>
        <w:t>6</w:t>
      </w:r>
      <w:r>
        <w:rPr>
          <w:rFonts w:hint="eastAsia" w:ascii="宋体" w:hAnsi="宋体" w:eastAsia="宋体" w:cs="宋体"/>
          <w:sz w:val="18"/>
          <w:szCs w:val="18"/>
          <w:highlight w:val="none"/>
          <w:u w:val="single"/>
        </w:rPr>
        <w:t>年</w:t>
      </w:r>
      <w:r>
        <w:rPr>
          <w:rFonts w:hint="eastAsia" w:ascii="宋体" w:hAnsi="宋体" w:cs="宋体"/>
          <w:sz w:val="18"/>
          <w:szCs w:val="18"/>
          <w:highlight w:val="none"/>
          <w:u w:val="single"/>
          <w:lang w:val="en-US" w:eastAsia="zh-CN"/>
        </w:rPr>
        <w:t>3</w:t>
      </w:r>
      <w:r>
        <w:rPr>
          <w:rFonts w:hint="eastAsia" w:ascii="宋体" w:hAnsi="宋体" w:eastAsia="宋体" w:cs="宋体"/>
          <w:sz w:val="18"/>
          <w:szCs w:val="18"/>
          <w:highlight w:val="none"/>
          <w:u w:val="single"/>
        </w:rPr>
        <w:t>月3</w:t>
      </w:r>
      <w:r>
        <w:rPr>
          <w:rFonts w:hint="eastAsia" w:ascii="宋体" w:hAnsi="宋体" w:cs="宋体"/>
          <w:sz w:val="18"/>
          <w:szCs w:val="18"/>
          <w:highlight w:val="none"/>
          <w:u w:val="single"/>
          <w:lang w:val="en-US" w:eastAsia="zh-CN"/>
        </w:rPr>
        <w:t>1</w:t>
      </w:r>
      <w:r>
        <w:rPr>
          <w:rFonts w:hint="eastAsia" w:ascii="宋体" w:hAnsi="宋体" w:eastAsia="宋体" w:cs="宋体"/>
          <w:sz w:val="18"/>
          <w:szCs w:val="18"/>
          <w:highlight w:val="none"/>
          <w:u w:val="single"/>
        </w:rPr>
        <w:t>日期间。采购方有权对2025年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礼品采购时间进行调整，2025年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礼品采购时间以采购人书面通知确认延后的时间为准，服务内容不变。</w:t>
      </w:r>
      <w:r>
        <w:rPr>
          <w:rFonts w:hint="eastAsia" w:ascii="宋体" w:hAnsi="宋体" w:cs="宋体"/>
          <w:sz w:val="18"/>
          <w:szCs w:val="18"/>
          <w:highlight w:val="none"/>
          <w:u w:val="single"/>
        </w:rPr>
        <w:t>由此产生的费用均已包含在含税单价及含税总价中，且甲方不须因此而向乙方承担包括但不限于违约赔偿补偿等任何责任</w:t>
      </w:r>
      <w:r>
        <w:rPr>
          <w:rFonts w:hint="eastAsia" w:ascii="宋体" w:hAnsi="宋体" w:eastAsia="宋体" w:cs="宋体"/>
          <w:sz w:val="18"/>
          <w:szCs w:val="18"/>
          <w:highlight w:val="none"/>
          <w:u w:val="single"/>
        </w:rPr>
        <w:t xml:space="preserve"> 。</w:t>
      </w:r>
    </w:p>
    <w:p w14:paraId="15128D8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6.合同价款及付款方式</w:t>
      </w:r>
    </w:p>
    <w:p w14:paraId="189B8E3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6.1合同价款：</w:t>
      </w:r>
    </w:p>
    <w:p w14:paraId="65B2DEFF">
      <w:pPr>
        <w:spacing w:line="40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本合同为固定</w:t>
      </w:r>
      <w:r>
        <w:rPr>
          <w:rFonts w:hint="eastAsia" w:ascii="宋体" w:hAnsi="宋体" w:cs="宋体"/>
          <w:sz w:val="18"/>
          <w:szCs w:val="18"/>
          <w:highlight w:val="none"/>
          <w:lang w:val="en-US" w:eastAsia="zh-CN"/>
        </w:rPr>
        <w:t>单</w:t>
      </w:r>
      <w:r>
        <w:rPr>
          <w:rFonts w:hint="eastAsia" w:ascii="宋体" w:hAnsi="宋体" w:cs="宋体"/>
          <w:sz w:val="18"/>
          <w:szCs w:val="18"/>
          <w:highlight w:val="none"/>
        </w:rPr>
        <w:t>价</w:t>
      </w:r>
      <w:r>
        <w:rPr>
          <w:rFonts w:hint="eastAsia" w:ascii="宋体" w:hAnsi="宋体" w:cs="宋体"/>
          <w:sz w:val="18"/>
          <w:szCs w:val="18"/>
          <w:highlight w:val="none"/>
          <w:lang w:val="en-US" w:eastAsia="zh-CN"/>
        </w:rPr>
        <w:t>合同</w:t>
      </w:r>
      <w:r>
        <w:rPr>
          <w:rFonts w:hint="eastAsia" w:ascii="宋体" w:hAnsi="宋体" w:cs="宋体"/>
          <w:sz w:val="18"/>
          <w:szCs w:val="18"/>
          <w:highlight w:val="none"/>
        </w:rPr>
        <w:t>，</w:t>
      </w:r>
      <w:r>
        <w:rPr>
          <w:rFonts w:hint="eastAsia" w:ascii="宋体" w:hAnsi="宋体" w:cs="宋体"/>
          <w:sz w:val="18"/>
          <w:szCs w:val="18"/>
          <w:highlight w:val="none"/>
          <w:lang w:val="en-US" w:eastAsia="zh-CN"/>
        </w:rPr>
        <w:t>暂定</w:t>
      </w:r>
      <w:r>
        <w:rPr>
          <w:rFonts w:hint="eastAsia" w:ascii="宋体" w:hAnsi="宋体" w:cs="宋体"/>
          <w:sz w:val="18"/>
          <w:szCs w:val="18"/>
          <w:highlight w:val="none"/>
        </w:rPr>
        <w:t>总价为：</w:t>
      </w:r>
      <w:r>
        <w:rPr>
          <w:rFonts w:hint="default"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default"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元（人民币</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元整，其中不含增值税价为</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元，增值税税率为</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%，税额为</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元）。2025年</w:t>
      </w:r>
      <w:r>
        <w:rPr>
          <w:rFonts w:hint="eastAsia" w:ascii="宋体" w:hAnsi="宋体" w:cs="宋体"/>
          <w:sz w:val="18"/>
          <w:szCs w:val="18"/>
          <w:highlight w:val="none"/>
          <w:lang w:eastAsia="zh-CN"/>
        </w:rPr>
        <w:t>拓客</w:t>
      </w:r>
      <w:r>
        <w:rPr>
          <w:rFonts w:hint="eastAsia" w:ascii="宋体" w:hAnsi="宋体" w:cs="宋体"/>
          <w:sz w:val="18"/>
          <w:szCs w:val="18"/>
          <w:highlight w:val="none"/>
        </w:rPr>
        <w:t>礼品</w:t>
      </w:r>
      <w:r>
        <w:rPr>
          <w:rFonts w:hint="default" w:ascii="宋体" w:hAnsi="宋体" w:cs="宋体"/>
          <w:sz w:val="18"/>
          <w:szCs w:val="18"/>
          <w:highlight w:val="none"/>
        </w:rPr>
        <w:t>总价</w:t>
      </w:r>
      <w:r>
        <w:rPr>
          <w:rFonts w:hint="default" w:ascii="宋体" w:hAnsi="宋体" w:cs="宋体"/>
          <w:b w:val="0"/>
          <w:bCs w:val="0"/>
          <w:sz w:val="18"/>
          <w:szCs w:val="18"/>
          <w:highlight w:val="none"/>
        </w:rPr>
        <w:t>详见合同1.1</w:t>
      </w:r>
      <w:r>
        <w:rPr>
          <w:rFonts w:hint="eastAsia" w:ascii="宋体" w:hAnsi="宋体" w:eastAsia="宋体" w:cs="宋体"/>
          <w:b w:val="0"/>
          <w:bCs w:val="0"/>
          <w:sz w:val="18"/>
          <w:szCs w:val="18"/>
          <w:highlight w:val="none"/>
        </w:rPr>
        <w:t>货物采购内容</w:t>
      </w:r>
      <w:r>
        <w:rPr>
          <w:rFonts w:hint="eastAsia" w:ascii="宋体" w:hAnsi="宋体" w:cs="宋体"/>
          <w:b w:val="0"/>
          <w:bCs w:val="0"/>
          <w:sz w:val="18"/>
          <w:szCs w:val="18"/>
          <w:highlight w:val="none"/>
        </w:rPr>
        <w:t>，</w:t>
      </w:r>
      <w:r>
        <w:rPr>
          <w:rFonts w:hint="eastAsia" w:ascii="宋体" w:hAnsi="宋体" w:eastAsia="宋体"/>
          <w:sz w:val="18"/>
          <w:szCs w:val="18"/>
          <w:highlight w:val="none"/>
        </w:rPr>
        <w:t>此单价为固定单价且已经包含但不限于乙方为履行本合同内容所花费的人工费、运费及增值税额、利润等全部费用，在合同期间内，此单价不因任何因素而变动。另外，</w:t>
      </w:r>
      <w:r>
        <w:rPr>
          <w:rFonts w:hint="default" w:ascii="宋体" w:hAnsi="宋体" w:cs="宋体"/>
          <w:b w:val="0"/>
          <w:bCs w:val="0"/>
          <w:sz w:val="18"/>
          <w:szCs w:val="18"/>
          <w:highlight w:val="none"/>
        </w:rPr>
        <w:t>合同1.1</w:t>
      </w:r>
      <w:r>
        <w:rPr>
          <w:rFonts w:hint="eastAsia" w:ascii="宋体" w:hAnsi="宋体" w:eastAsia="宋体" w:cs="宋体"/>
          <w:b w:val="0"/>
          <w:bCs w:val="0"/>
          <w:sz w:val="18"/>
          <w:szCs w:val="18"/>
          <w:highlight w:val="none"/>
        </w:rPr>
        <w:t>货物采购</w:t>
      </w:r>
      <w:r>
        <w:rPr>
          <w:rFonts w:hint="eastAsia" w:ascii="宋体" w:hAnsi="宋体" w:eastAsia="宋体"/>
          <w:sz w:val="18"/>
          <w:szCs w:val="18"/>
          <w:highlight w:val="none"/>
        </w:rPr>
        <w:t>约定的数量仅作为预估数量参考使用，甲方有权对各项客户礼品数量进行合理调配，单次采购客户礼品的数量以甲方通知为准。如遇国家政策等不可控制因素调整增值税税率，则按照税前价不变的原则继续执行本合同</w:t>
      </w:r>
      <w:r>
        <w:rPr>
          <w:rFonts w:hint="eastAsia" w:ascii="宋体" w:hAnsi="宋体" w:cs="宋体"/>
          <w:sz w:val="18"/>
          <w:szCs w:val="18"/>
          <w:highlight w:val="none"/>
        </w:rPr>
        <w:t>。</w:t>
      </w:r>
    </w:p>
    <w:p w14:paraId="1A21C191">
      <w:pPr>
        <w:spacing w:line="400" w:lineRule="exact"/>
        <w:ind w:firstLine="360" w:firstLineChars="200"/>
        <w:rPr>
          <w:rFonts w:hint="default" w:ascii="宋体" w:hAnsi="宋体" w:cs="宋体"/>
          <w:sz w:val="18"/>
          <w:szCs w:val="18"/>
          <w:highlight w:val="none"/>
        </w:rPr>
      </w:pPr>
      <w:r>
        <w:rPr>
          <w:rFonts w:hint="eastAsia" w:ascii="宋体" w:hAnsi="宋体" w:cs="宋体"/>
          <w:sz w:val="18"/>
          <w:szCs w:val="18"/>
          <w:highlight w:val="none"/>
        </w:rPr>
        <w:t>6.2合同价款支付：</w:t>
      </w:r>
      <w:r>
        <w:rPr>
          <w:rFonts w:hint="default" w:ascii="宋体" w:hAnsi="宋体" w:cs="宋体"/>
          <w:sz w:val="18"/>
          <w:szCs w:val="18"/>
          <w:highlight w:val="none"/>
        </w:rPr>
        <w:t>按次支付</w:t>
      </w:r>
    </w:p>
    <w:p w14:paraId="61DE23D5">
      <w:pPr>
        <w:spacing w:line="360" w:lineRule="exact"/>
        <w:ind w:firstLine="360" w:firstLineChars="200"/>
        <w:rPr>
          <w:rFonts w:hint="eastAsia" w:ascii="宋体" w:hAnsi="宋体" w:eastAsia="宋体"/>
          <w:sz w:val="18"/>
          <w:szCs w:val="18"/>
          <w:highlight w:val="none"/>
        </w:rPr>
      </w:pPr>
      <w:bookmarkStart w:id="160" w:name="_Hlk121996826"/>
      <w:r>
        <w:rPr>
          <w:rFonts w:hint="eastAsia" w:ascii="宋体" w:hAnsi="宋体" w:eastAsia="宋体"/>
          <w:sz w:val="18"/>
          <w:szCs w:val="18"/>
          <w:highlight w:val="none"/>
        </w:rPr>
        <w:t>单次付款金额以甲方单次下单物料的品类、单价、数量为准进行核算。甲方每次付款前，乙方需提供有效的等额增值税专用发票(税点为</w:t>
      </w:r>
      <w:r>
        <w:rPr>
          <w:rFonts w:hint="eastAsia" w:ascii="宋体" w:hAnsi="宋体"/>
          <w:sz w:val="18"/>
          <w:szCs w:val="18"/>
          <w:highlight w:val="none"/>
          <w:u w:val="single"/>
          <w:lang w:val="en-US" w:eastAsia="zh-CN"/>
        </w:rPr>
        <w:t xml:space="preserve">    </w:t>
      </w:r>
      <w:r>
        <w:rPr>
          <w:rFonts w:hint="eastAsia" w:ascii="宋体" w:hAnsi="宋体" w:eastAsia="宋体"/>
          <w:sz w:val="18"/>
          <w:szCs w:val="18"/>
          <w:highlight w:val="none"/>
        </w:rPr>
        <w:t>%)和甲方签字确认的送货单及其他相关材料,甲方在收到上述材料且客户礼品经甲方验收合格后20个工作日安排付款，如因乙方延迟请款、未能提供有效发票，或提供的请款材料存在瑕疵导致甲方未能在约定时间付款的，甲方有权拒绝付款而不视为违约。</w:t>
      </w:r>
    </w:p>
    <w:p w14:paraId="25F89FE4">
      <w:pPr>
        <w:spacing w:line="360" w:lineRule="exact"/>
        <w:ind w:firstLine="360" w:firstLineChars="200"/>
        <w:rPr>
          <w:rFonts w:hint="default" w:ascii="宋体" w:hAnsi="宋体" w:eastAsia="宋体"/>
          <w:sz w:val="18"/>
          <w:szCs w:val="18"/>
          <w:highlight w:val="none"/>
        </w:rPr>
      </w:pPr>
      <w:r>
        <w:rPr>
          <w:rFonts w:hint="eastAsia" w:ascii="宋体" w:hAnsi="宋体" w:eastAsia="宋体"/>
          <w:sz w:val="18"/>
          <w:szCs w:val="18"/>
          <w:highlight w:val="none"/>
        </w:rPr>
        <w:t>实际支付的合同价款依据甲方书面确认结果发放。上述款项的支付前提是甲方认可乙方的服务质量，且乙方还应先行向甲方开具且提供正规的增值税专用发票和支付申请</w:t>
      </w:r>
      <w:bookmarkEnd w:id="160"/>
      <w:r>
        <w:rPr>
          <w:rFonts w:hint="eastAsia" w:ascii="宋体" w:hAnsi="宋体" w:eastAsia="宋体"/>
          <w:sz w:val="18"/>
          <w:szCs w:val="18"/>
          <w:highlight w:val="none"/>
        </w:rPr>
        <w:t>，否则甲方有权拒绝付款而不视为违约。</w:t>
      </w:r>
      <w:r>
        <w:rPr>
          <w:rFonts w:hint="default" w:ascii="宋体" w:hAnsi="宋体" w:eastAsia="宋体"/>
          <w:sz w:val="18"/>
          <w:szCs w:val="18"/>
          <w:highlight w:val="none"/>
        </w:rPr>
        <w:t xml:space="preserve"> </w:t>
      </w:r>
    </w:p>
    <w:p w14:paraId="4E1AA2CD">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3</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乙方指定唯一收款账户信息</w:t>
      </w:r>
    </w:p>
    <w:p w14:paraId="6EE47C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开户名称：</w:t>
      </w:r>
      <w:r>
        <w:rPr>
          <w:rFonts w:hint="eastAsia" w:ascii="宋体" w:hAnsi="宋体" w:eastAsia="宋体" w:cs="宋体"/>
          <w:sz w:val="18"/>
          <w:szCs w:val="18"/>
          <w:highlight w:val="none"/>
          <w:u w:val="single"/>
        </w:rPr>
        <w:t xml:space="preserve">                                    </w:t>
      </w:r>
    </w:p>
    <w:p w14:paraId="4E860E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开 户 行：</w:t>
      </w:r>
      <w:r>
        <w:rPr>
          <w:rFonts w:hint="eastAsia" w:ascii="宋体" w:hAnsi="宋体" w:eastAsia="宋体" w:cs="宋体"/>
          <w:sz w:val="18"/>
          <w:szCs w:val="18"/>
          <w:highlight w:val="none"/>
          <w:u w:val="single"/>
        </w:rPr>
        <w:t xml:space="preserve">                                    </w:t>
      </w:r>
    </w:p>
    <w:p w14:paraId="5F4BE7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账    号：</w:t>
      </w:r>
      <w:r>
        <w:rPr>
          <w:rFonts w:hint="eastAsia" w:ascii="宋体" w:hAnsi="宋体" w:eastAsia="宋体" w:cs="宋体"/>
          <w:sz w:val="18"/>
          <w:szCs w:val="18"/>
          <w:highlight w:val="none"/>
          <w:u w:val="single"/>
        </w:rPr>
        <w:t xml:space="preserve">                                    </w:t>
      </w:r>
    </w:p>
    <w:p w14:paraId="7C8809B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7.权利瑕疵担保</w:t>
      </w:r>
    </w:p>
    <w:p w14:paraId="6BF67B0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7.1乙方保证对其出售的货物享有合法的权利。</w:t>
      </w:r>
    </w:p>
    <w:p w14:paraId="6A874D0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7.2乙方保证在其出售的货物上不存在任何未曾向对方透露的担保物权，如抵押权、质押权、留置权等。</w:t>
      </w:r>
    </w:p>
    <w:p w14:paraId="3D997976">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7.3乙方保证其所出售的货物没有侵犯任何第三人的知识产权和商业秘密等权利。</w:t>
      </w:r>
    </w:p>
    <w:p w14:paraId="3F53CF2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7.4如甲方使用该货物构成上述侵权的，则由乙方承担全部责任。</w:t>
      </w:r>
    </w:p>
    <w:p w14:paraId="1CB4AA28">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7.5如货物需要乙方负责安装的，乙方承担验收合格前发生的安全责任。</w:t>
      </w:r>
    </w:p>
    <w:p w14:paraId="547C1E3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8.包装规定</w:t>
      </w:r>
    </w:p>
    <w:p w14:paraId="4E24CCB5">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8.1包装要求及费用负担：乙方所售的全部货物均应按标准保护措施进行包装，这类包装应适应于远距离运输，防潮，防震，防锈和防野蛮装卸等要求，以确保货物安全无损地运抵甲方指定地点。</w:t>
      </w:r>
    </w:p>
    <w:p w14:paraId="75A1E418">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8.2每一个包装箱内应附有出标准配置的有关技术，质量，三包等资料。</w:t>
      </w:r>
    </w:p>
    <w:p w14:paraId="4796712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9.验收及安装</w:t>
      </w:r>
    </w:p>
    <w:p w14:paraId="01DE14F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9.1由甲方根据货物的技术规格要求和质量标准，对货物进行检查验收。</w:t>
      </w:r>
    </w:p>
    <w:p w14:paraId="1251913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9.2如检验不满足采购文件要求或不能按照国家标准正常使用，由乙方返工。如再次检验不合格，甲方有权取消合同。</w:t>
      </w:r>
    </w:p>
    <w:p w14:paraId="130C8769">
      <w:pPr>
        <w:spacing w:line="400" w:lineRule="exact"/>
        <w:ind w:firstLine="360" w:firstLineChars="200"/>
        <w:rPr>
          <w:rFonts w:hint="eastAsia" w:ascii="宋体" w:hAnsi="宋体" w:eastAsia="宋体" w:cs="宋体"/>
          <w:sz w:val="18"/>
          <w:szCs w:val="18"/>
          <w:highlight w:val="none"/>
        </w:rPr>
      </w:pPr>
      <w:r>
        <w:rPr>
          <w:rFonts w:hint="eastAsia" w:ascii="宋体" w:hAnsi="宋体" w:cs="宋体"/>
          <w:sz w:val="18"/>
          <w:szCs w:val="18"/>
          <w:highlight w:val="none"/>
        </w:rPr>
        <w:t>9.3乙方提供的货物，需提供相应的货物质量合格证书和说明书。乙方交货必须严格按照合同约定的产品规格、型号要求，否则甲方有权拒收。收货后发现返修率达到</w:t>
      </w:r>
      <w:r>
        <w:rPr>
          <w:rFonts w:hint="eastAsia" w:ascii="宋体" w:hAnsi="宋体" w:cs="宋体"/>
          <w:sz w:val="18"/>
          <w:szCs w:val="18"/>
          <w:highlight w:val="none"/>
          <w:u w:val="single"/>
        </w:rPr>
        <w:t xml:space="preserve"> 10 </w:t>
      </w:r>
      <w:r>
        <w:rPr>
          <w:rFonts w:hint="eastAsia" w:ascii="宋体" w:hAnsi="宋体" w:cs="宋体"/>
          <w:sz w:val="18"/>
          <w:szCs w:val="18"/>
          <w:highlight w:val="none"/>
        </w:rPr>
        <w:t>%以上的，甲方有权终止合同且有权按合同总价的50%要求乙方承担惩罚性违约责任且不予调低，且还有权要求乙方返还全部已付款项</w:t>
      </w:r>
      <w:r>
        <w:rPr>
          <w:rFonts w:hint="eastAsia" w:ascii="宋体" w:hAnsi="宋体" w:eastAsia="宋体" w:cs="宋体"/>
          <w:sz w:val="18"/>
          <w:szCs w:val="18"/>
          <w:highlight w:val="none"/>
        </w:rPr>
        <w:t>。</w:t>
      </w:r>
    </w:p>
    <w:p w14:paraId="3856756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10.售后服务</w:t>
      </w:r>
    </w:p>
    <w:p w14:paraId="666AE3A4">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10.1乙方承诺的售后服务按照响应文件的服务承诺方案实施。</w:t>
      </w:r>
    </w:p>
    <w:p w14:paraId="67527542">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10.2货物售后服务质量技术标准：按国家新“三包”规定执行，如有质量问题7天内包退，15天内包换。</w:t>
      </w:r>
    </w:p>
    <w:p w14:paraId="6D0D71E5">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10.3货物出现产品故障时，售后响应时间为</w:t>
      </w:r>
      <w:r>
        <w:rPr>
          <w:rFonts w:hint="eastAsia" w:ascii="宋体" w:hAnsi="宋体" w:eastAsia="宋体" w:cs="宋体"/>
          <w:sz w:val="18"/>
          <w:szCs w:val="18"/>
          <w:highlight w:val="none"/>
          <w:u w:val="single"/>
        </w:rPr>
        <w:t xml:space="preserve"> 3天内 </w:t>
      </w:r>
      <w:r>
        <w:rPr>
          <w:rFonts w:hint="eastAsia" w:ascii="宋体" w:hAnsi="宋体" w:eastAsia="宋体" w:cs="宋体"/>
          <w:sz w:val="18"/>
          <w:szCs w:val="18"/>
          <w:highlight w:val="none"/>
        </w:rPr>
        <w:t>。</w:t>
      </w:r>
    </w:p>
    <w:p w14:paraId="488CF4C2">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10.4售后服务由乙方全权负责，成立专门售后服务小组，保证提供完善的售后服务。售后联系人：【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】，联系电话：【</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w:t>
      </w:r>
    </w:p>
    <w:p w14:paraId="1E29A7C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11.违约责任</w:t>
      </w:r>
    </w:p>
    <w:p w14:paraId="1F4F940D">
      <w:pPr>
        <w:spacing w:line="400" w:lineRule="exact"/>
        <w:ind w:firstLine="360" w:firstLineChars="200"/>
        <w:rPr>
          <w:rFonts w:hint="eastAsia" w:ascii="宋体" w:hAnsi="宋体" w:eastAsia="宋体" w:cs="宋体"/>
          <w:sz w:val="18"/>
          <w:szCs w:val="18"/>
          <w:highlight w:val="none"/>
        </w:rPr>
      </w:pPr>
      <w:r>
        <w:rPr>
          <w:rFonts w:hint="eastAsia" w:ascii="宋体" w:hAnsi="宋体" w:cs="宋体"/>
          <w:sz w:val="18"/>
          <w:szCs w:val="18"/>
          <w:highlight w:val="none"/>
        </w:rPr>
        <w:t>11.1因乙方原因不能按照约定期限交货或未按合同约定安装或未按本合同约定履行或未按甲方要求履行的，乙方应承担违约责任，即每逾期一天，乙方须向甲方支付本合同第1.1条采购清单预估采购货物总价款</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千分之五</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rPr>
        <w:t>的违约金，延期超过</w:t>
      </w:r>
      <w:r>
        <w:rPr>
          <w:rFonts w:hint="eastAsia" w:ascii="宋体" w:hAnsi="宋体" w:cs="宋体"/>
          <w:sz w:val="18"/>
          <w:szCs w:val="18"/>
          <w:highlight w:val="none"/>
          <w:u w:val="single"/>
        </w:rPr>
        <w:t xml:space="preserve">  15  </w:t>
      </w:r>
      <w:r>
        <w:rPr>
          <w:rFonts w:hint="eastAsia" w:ascii="宋体" w:hAnsi="宋体" w:cs="宋体"/>
          <w:sz w:val="18"/>
          <w:szCs w:val="18"/>
          <w:highlight w:val="none"/>
        </w:rPr>
        <w:t>日的，甲方将解除合同且还有权要求乙方按甲方全部采购产品总价的50%承担惩罚性违约责任，且还有权要求乙方返还已付全部全款，且还有权要求乙方赔偿赔偿由此给甲方造成的全部损失。</w:t>
      </w:r>
    </w:p>
    <w:p w14:paraId="3CB0CC64">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11.2乙方交付货物不符合相关质量标准的，乙方负责包修包换，其中修理三次仍不能正常使用的，乙方同意按退货处理。乙方保修包换设备及退货退款的，应当在</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5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日内完成，不能按约定完成的，每天按相应货物价款的</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10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%的标准向甲方支付违约金。</w:t>
      </w:r>
    </w:p>
    <w:p w14:paraId="7D2FACAB">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11.3乙方货物运输、安装、调试、试运行等过程中对自身或他人造成的任何人身或财产损失，均全部由乙方负责。</w:t>
      </w:r>
    </w:p>
    <w:p w14:paraId="6D72026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11.4乙方所交付货物侵犯第三方权益的，应承担由此给甲方造成的一切损失，并承担一切后果。</w:t>
      </w:r>
    </w:p>
    <w:p w14:paraId="633722F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11.5若发生其他违约情形，违约方应赔偿由此给对方的损失。如属双方过失，应各自承担相应责任。</w:t>
      </w:r>
    </w:p>
    <w:p w14:paraId="4A1A41E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11.6</w:t>
      </w:r>
      <w:r>
        <w:rPr>
          <w:rFonts w:hint="eastAsia" w:ascii="宋体" w:hAnsi="宋体" w:eastAsia="宋体" w:cs="宋体"/>
          <w:sz w:val="18"/>
          <w:szCs w:val="18"/>
          <w:highlight w:val="none"/>
        </w:rPr>
        <w:t>乙方</w:t>
      </w:r>
      <w:r>
        <w:rPr>
          <w:rFonts w:hint="eastAsia" w:ascii="宋体" w:hAnsi="宋体" w:eastAsia="宋体" w:cs="宋体"/>
          <w:bCs/>
          <w:sz w:val="18"/>
          <w:szCs w:val="18"/>
          <w:highlight w:val="none"/>
        </w:rPr>
        <w:t>必须保证甲方在使用乙方提供的货物时，不存在任何已知的不合法的情形，也不存在已知的与第三方专利权</w:t>
      </w:r>
      <w:r>
        <w:rPr>
          <w:rFonts w:hint="eastAsia" w:ascii="宋体" w:hAnsi="宋体" w:eastAsia="宋体" w:cs="宋体"/>
          <w:sz w:val="18"/>
          <w:szCs w:val="18"/>
          <w:highlight w:val="none"/>
        </w:rPr>
        <w:t>、著作权、商标权或工业设计权相关的任何争议，如果有任何因甲方使用乙方提供的货物而提起的侵权指控，乙方依法承担全部责任</w:t>
      </w:r>
      <w:r>
        <w:rPr>
          <w:rFonts w:hint="eastAsia" w:ascii="宋体" w:hAnsi="宋体" w:eastAsia="宋体" w:cs="宋体"/>
          <w:bCs/>
          <w:sz w:val="18"/>
          <w:szCs w:val="18"/>
          <w:highlight w:val="none"/>
        </w:rPr>
        <w:t>。</w:t>
      </w:r>
    </w:p>
    <w:p w14:paraId="5A70583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12.合同的变更</w:t>
      </w:r>
    </w:p>
    <w:p w14:paraId="1E18B13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12.1在合同履行过程中，供货价格不随任何因素发生变化。</w:t>
      </w:r>
    </w:p>
    <w:p w14:paraId="0102AC9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12.2在合同履行过程中，甲方有权调整供货数量。如增加或减少供货数量时，甲方应提前</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3</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日通知乙方。对增加供货数量的，乙方应在在接到甲方补单通知后</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5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日内将增加的货物按本合同价格及相关质量要求及时供货到位。</w:t>
      </w:r>
    </w:p>
    <w:p w14:paraId="7D17623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13.不可抗力</w:t>
      </w:r>
    </w:p>
    <w:p w14:paraId="6401133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一方当事人因不可抗力不能按照约定履行本合同的，根据不可抗力的影响，可部分或全部免除责任，但应当及时告知对方，并自不可抗力结束之日起十五日内向对方当事人提供证明。</w:t>
      </w:r>
    </w:p>
    <w:p w14:paraId="0C7F50D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14.争议解决方式</w:t>
      </w:r>
    </w:p>
    <w:p w14:paraId="7B64EA5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本合同项下所发生的争议，由双方协商解决，协商不成的，双方同意按照依法向甲方所在地人民法院提起诉讼解决。</w:t>
      </w:r>
    </w:p>
    <w:p w14:paraId="2EA0D82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15.其他条款</w:t>
      </w:r>
    </w:p>
    <w:p w14:paraId="48B1E62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15.1本合同自双方签名盖章之日起生效。本合同及附件共</w:t>
      </w:r>
      <w:r>
        <w:rPr>
          <w:rFonts w:hint="eastAsia" w:ascii="宋体" w:hAnsi="宋体" w:eastAsia="宋体" w:cs="宋体"/>
          <w:sz w:val="18"/>
          <w:szCs w:val="18"/>
          <w:highlight w:val="yellow"/>
          <w:u w:val="single"/>
        </w:rPr>
        <w:t xml:space="preserve">   </w:t>
      </w:r>
      <w:r>
        <w:rPr>
          <w:rFonts w:hint="eastAsia" w:ascii="宋体" w:hAnsi="宋体" w:eastAsia="宋体" w:cs="宋体"/>
          <w:sz w:val="18"/>
          <w:szCs w:val="18"/>
          <w:highlight w:val="yellow"/>
        </w:rPr>
        <w:t>页</w:t>
      </w:r>
      <w:r>
        <w:rPr>
          <w:rFonts w:hint="eastAsia" w:ascii="宋体" w:hAnsi="宋体" w:eastAsia="宋体" w:cs="宋体"/>
          <w:sz w:val="18"/>
          <w:szCs w:val="18"/>
          <w:highlight w:val="none"/>
        </w:rPr>
        <w:t>，一式</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陆</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份，具有同等法律效力，其中甲方</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肆</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份，乙方</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贰</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份。</w:t>
      </w:r>
    </w:p>
    <w:p w14:paraId="35055825">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7B6DA2E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15.3本合同未尽事宜，双方可协商签订补充协议，补充协议与本合同具有同等法律效力。</w:t>
      </w:r>
    </w:p>
    <w:p w14:paraId="0AE12E92">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15.4其他约定：</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无</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rPr>
        <w:t>。</w:t>
      </w:r>
    </w:p>
    <w:p w14:paraId="4AF0AF4B">
      <w:pPr>
        <w:pStyle w:val="9"/>
        <w:rPr>
          <w:rFonts w:ascii="Times New Roman" w:hAnsi="Times New Roman"/>
          <w:szCs w:val="21"/>
          <w:highlight w:val="none"/>
        </w:rPr>
      </w:pPr>
    </w:p>
    <w:p w14:paraId="127AC107">
      <w:pPr>
        <w:widowControl/>
        <w:spacing w:line="360" w:lineRule="exact"/>
        <w:jc w:val="left"/>
        <w:rPr>
          <w:rFonts w:hint="eastAsia" w:ascii="宋体" w:hAnsi="宋体" w:eastAsia="宋体" w:cs="仿宋"/>
          <w:bCs/>
          <w:sz w:val="18"/>
          <w:szCs w:val="18"/>
          <w:highlight w:val="none"/>
        </w:rPr>
      </w:pPr>
      <w:r>
        <w:rPr>
          <w:rFonts w:hint="eastAsia" w:ascii="宋体" w:hAnsi="宋体" w:eastAsia="宋体" w:cs="仿宋"/>
          <w:bCs/>
          <w:sz w:val="18"/>
          <w:szCs w:val="18"/>
          <w:highlight w:val="none"/>
        </w:rPr>
        <w:t>甲方（盖章）：                               乙方（盖章）：</w:t>
      </w:r>
    </w:p>
    <w:p w14:paraId="0A4BDDFF">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法定代表人或其授权的                         法定代表人或其授权的</w:t>
      </w:r>
    </w:p>
    <w:p w14:paraId="1B9038CF">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委托代理人（签字）：                         委托代理人（签字）：</w:t>
      </w:r>
    </w:p>
    <w:tbl>
      <w:tblPr>
        <w:tblStyle w:val="19"/>
        <w:tblW w:w="5276" w:type="pct"/>
        <w:tblInd w:w="-142" w:type="dxa"/>
        <w:tblLayout w:type="autofit"/>
        <w:tblCellMar>
          <w:top w:w="0" w:type="dxa"/>
          <w:left w:w="108" w:type="dxa"/>
          <w:bottom w:w="0" w:type="dxa"/>
          <w:right w:w="108" w:type="dxa"/>
        </w:tblCellMar>
      </w:tblPr>
      <w:tblGrid>
        <w:gridCol w:w="4218"/>
        <w:gridCol w:w="4781"/>
      </w:tblGrid>
      <w:tr w14:paraId="7F7BB293">
        <w:tblPrEx>
          <w:tblCellMar>
            <w:top w:w="0" w:type="dxa"/>
            <w:left w:w="108" w:type="dxa"/>
            <w:bottom w:w="0" w:type="dxa"/>
            <w:right w:w="108" w:type="dxa"/>
          </w:tblCellMar>
        </w:tblPrEx>
        <w:trPr>
          <w:trHeight w:val="508" w:hRule="atLeast"/>
        </w:trPr>
        <w:tc>
          <w:tcPr>
            <w:tcW w:w="4111" w:type="dxa"/>
            <w:tcBorders>
              <w:tl2br w:val="nil"/>
              <w:tr2bl w:val="nil"/>
            </w:tcBorders>
          </w:tcPr>
          <w:p w14:paraId="06E02762">
            <w:pPr>
              <w:spacing w:line="360" w:lineRule="exact"/>
              <w:ind w:left="540" w:hanging="540" w:hangingChars="300"/>
              <w:rPr>
                <w:rFonts w:hint="eastAsia" w:ascii="宋体" w:hAnsi="宋体" w:eastAsia="宋体" w:cs="仿宋"/>
                <w:bCs/>
                <w:sz w:val="18"/>
                <w:szCs w:val="18"/>
                <w:highlight w:val="none"/>
              </w:rPr>
            </w:pPr>
            <w:r>
              <w:rPr>
                <w:rFonts w:hint="eastAsia" w:ascii="宋体" w:hAnsi="宋体" w:eastAsia="宋体" w:cs="仿宋"/>
                <w:bCs/>
                <w:sz w:val="18"/>
                <w:szCs w:val="18"/>
                <w:highlight w:val="none"/>
              </w:rPr>
              <w:t xml:space="preserve">单位地址： </w:t>
            </w:r>
          </w:p>
        </w:tc>
        <w:tc>
          <w:tcPr>
            <w:tcW w:w="4660" w:type="dxa"/>
            <w:tcBorders>
              <w:tl2br w:val="nil"/>
              <w:tr2bl w:val="nil"/>
            </w:tcBorders>
          </w:tcPr>
          <w:p w14:paraId="60538755">
            <w:pPr>
              <w:spacing w:line="360" w:lineRule="exact"/>
              <w:rPr>
                <w:rFonts w:hint="eastAsia" w:ascii="宋体" w:hAnsi="宋体" w:eastAsia="宋体" w:cs="仿宋"/>
                <w:bCs/>
                <w:kern w:val="0"/>
                <w:sz w:val="18"/>
                <w:szCs w:val="18"/>
                <w:highlight w:val="none"/>
              </w:rPr>
            </w:pPr>
            <w:r>
              <w:rPr>
                <w:rFonts w:hint="eastAsia" w:ascii="宋体" w:hAnsi="宋体" w:eastAsia="宋体" w:cs="仿宋"/>
                <w:bCs/>
                <w:sz w:val="18"/>
                <w:szCs w:val="18"/>
                <w:highlight w:val="none"/>
              </w:rPr>
              <w:t>单位地址：</w:t>
            </w:r>
            <w:r>
              <w:rPr>
                <w:rFonts w:hint="eastAsia" w:ascii="宋体" w:hAnsi="宋体" w:eastAsia="宋体" w:cs="仿宋"/>
                <w:bCs/>
                <w:kern w:val="0"/>
                <w:sz w:val="18"/>
                <w:szCs w:val="18"/>
                <w:highlight w:val="none"/>
              </w:rPr>
              <w:t xml:space="preserve"> </w:t>
            </w:r>
          </w:p>
        </w:tc>
      </w:tr>
      <w:tr w14:paraId="3AAC81B0">
        <w:tblPrEx>
          <w:tblCellMar>
            <w:top w:w="0" w:type="dxa"/>
            <w:left w:w="108" w:type="dxa"/>
            <w:bottom w:w="0" w:type="dxa"/>
            <w:right w:w="108" w:type="dxa"/>
          </w:tblCellMar>
        </w:tblPrEx>
        <w:trPr>
          <w:trHeight w:val="508" w:hRule="atLeast"/>
        </w:trPr>
        <w:tc>
          <w:tcPr>
            <w:tcW w:w="4111" w:type="dxa"/>
            <w:tcBorders>
              <w:tl2br w:val="nil"/>
              <w:tr2bl w:val="nil"/>
            </w:tcBorders>
          </w:tcPr>
          <w:p w14:paraId="477EA46B">
            <w:pPr>
              <w:spacing w:line="360" w:lineRule="exact"/>
              <w:ind w:left="720" w:hanging="720" w:hangingChars="400"/>
              <w:rPr>
                <w:rFonts w:hint="eastAsia" w:ascii="宋体" w:hAnsi="宋体" w:eastAsia="宋体" w:cs="仿宋"/>
                <w:bCs/>
                <w:sz w:val="18"/>
                <w:szCs w:val="18"/>
                <w:highlight w:val="none"/>
              </w:rPr>
            </w:pPr>
            <w:r>
              <w:rPr>
                <w:rFonts w:hint="eastAsia" w:ascii="宋体" w:hAnsi="宋体" w:eastAsia="宋体" w:cs="仿宋"/>
                <w:bCs/>
                <w:sz w:val="18"/>
                <w:szCs w:val="18"/>
                <w:highlight w:val="none"/>
              </w:rPr>
              <w:t>开户名：</w:t>
            </w:r>
          </w:p>
        </w:tc>
        <w:tc>
          <w:tcPr>
            <w:tcW w:w="4660" w:type="dxa"/>
            <w:tcBorders>
              <w:tl2br w:val="nil"/>
              <w:tr2bl w:val="nil"/>
            </w:tcBorders>
          </w:tcPr>
          <w:p w14:paraId="60766FD1">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 xml:space="preserve">开户名： </w:t>
            </w:r>
          </w:p>
        </w:tc>
      </w:tr>
      <w:tr w14:paraId="6AC10D55">
        <w:tblPrEx>
          <w:tblCellMar>
            <w:top w:w="0" w:type="dxa"/>
            <w:left w:w="108" w:type="dxa"/>
            <w:bottom w:w="0" w:type="dxa"/>
            <w:right w:w="108" w:type="dxa"/>
          </w:tblCellMar>
        </w:tblPrEx>
        <w:trPr>
          <w:trHeight w:val="508" w:hRule="atLeast"/>
        </w:trPr>
        <w:tc>
          <w:tcPr>
            <w:tcW w:w="4111" w:type="dxa"/>
            <w:tcBorders>
              <w:tl2br w:val="nil"/>
              <w:tr2bl w:val="nil"/>
            </w:tcBorders>
          </w:tcPr>
          <w:p w14:paraId="06F811D6">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银行账户：</w:t>
            </w:r>
          </w:p>
        </w:tc>
        <w:tc>
          <w:tcPr>
            <w:tcW w:w="4660" w:type="dxa"/>
            <w:tcBorders>
              <w:tl2br w:val="nil"/>
              <w:tr2bl w:val="nil"/>
            </w:tcBorders>
          </w:tcPr>
          <w:p w14:paraId="75D0EA7F">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银行账户：</w:t>
            </w:r>
          </w:p>
        </w:tc>
      </w:tr>
      <w:tr w14:paraId="47EE594D">
        <w:tblPrEx>
          <w:tblCellMar>
            <w:top w:w="0" w:type="dxa"/>
            <w:left w:w="108" w:type="dxa"/>
            <w:bottom w:w="0" w:type="dxa"/>
            <w:right w:w="108" w:type="dxa"/>
          </w:tblCellMar>
        </w:tblPrEx>
        <w:trPr>
          <w:trHeight w:val="508" w:hRule="atLeast"/>
        </w:trPr>
        <w:tc>
          <w:tcPr>
            <w:tcW w:w="4111" w:type="dxa"/>
            <w:tcBorders>
              <w:tl2br w:val="nil"/>
              <w:tr2bl w:val="nil"/>
            </w:tcBorders>
          </w:tcPr>
          <w:p w14:paraId="0B29782F">
            <w:pPr>
              <w:spacing w:line="360" w:lineRule="exact"/>
              <w:ind w:left="900" w:hanging="900" w:hangingChars="500"/>
              <w:rPr>
                <w:rFonts w:hint="eastAsia" w:ascii="宋体" w:hAnsi="宋体" w:eastAsia="宋体" w:cs="仿宋"/>
                <w:bCs/>
                <w:sz w:val="18"/>
                <w:szCs w:val="18"/>
                <w:highlight w:val="none"/>
              </w:rPr>
            </w:pPr>
            <w:r>
              <w:rPr>
                <w:rFonts w:hint="eastAsia" w:ascii="宋体" w:hAnsi="宋体" w:eastAsia="宋体" w:cs="仿宋"/>
                <w:bCs/>
                <w:sz w:val="18"/>
                <w:szCs w:val="18"/>
                <w:highlight w:val="none"/>
              </w:rPr>
              <w:t>开户银行：</w:t>
            </w:r>
          </w:p>
        </w:tc>
        <w:tc>
          <w:tcPr>
            <w:tcW w:w="4660" w:type="dxa"/>
            <w:tcBorders>
              <w:tl2br w:val="nil"/>
              <w:tr2bl w:val="nil"/>
            </w:tcBorders>
          </w:tcPr>
          <w:p w14:paraId="50F451AE">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开户银行：</w:t>
            </w:r>
          </w:p>
        </w:tc>
      </w:tr>
      <w:tr w14:paraId="27EB03D4">
        <w:tblPrEx>
          <w:tblCellMar>
            <w:top w:w="0" w:type="dxa"/>
            <w:left w:w="108" w:type="dxa"/>
            <w:bottom w:w="0" w:type="dxa"/>
            <w:right w:w="108" w:type="dxa"/>
          </w:tblCellMar>
        </w:tblPrEx>
        <w:trPr>
          <w:trHeight w:val="508" w:hRule="atLeast"/>
        </w:trPr>
        <w:tc>
          <w:tcPr>
            <w:tcW w:w="4111" w:type="dxa"/>
            <w:tcBorders>
              <w:tl2br w:val="nil"/>
              <w:tr2bl w:val="nil"/>
            </w:tcBorders>
          </w:tcPr>
          <w:p w14:paraId="1DE4B7B1">
            <w:pPr>
              <w:spacing w:line="360" w:lineRule="exact"/>
              <w:ind w:left="1800" w:hanging="1800" w:hangingChars="1000"/>
              <w:rPr>
                <w:rFonts w:hint="eastAsia" w:ascii="宋体" w:hAnsi="宋体" w:eastAsia="宋体" w:cs="仿宋"/>
                <w:bCs/>
                <w:sz w:val="18"/>
                <w:szCs w:val="18"/>
                <w:highlight w:val="none"/>
              </w:rPr>
            </w:pPr>
            <w:r>
              <w:rPr>
                <w:rFonts w:hint="eastAsia" w:ascii="宋体" w:hAnsi="宋体" w:eastAsia="宋体" w:cs="仿宋"/>
                <w:bCs/>
                <w:sz w:val="18"/>
                <w:szCs w:val="18"/>
                <w:highlight w:val="none"/>
              </w:rPr>
              <w:t>统一社会信用代码：</w:t>
            </w:r>
          </w:p>
        </w:tc>
        <w:tc>
          <w:tcPr>
            <w:tcW w:w="4660" w:type="dxa"/>
            <w:tcBorders>
              <w:tl2br w:val="nil"/>
              <w:tr2bl w:val="nil"/>
            </w:tcBorders>
          </w:tcPr>
          <w:p w14:paraId="6A67B72C">
            <w:pPr>
              <w:spacing w:line="360" w:lineRule="exact"/>
              <w:rPr>
                <w:rFonts w:hint="eastAsia" w:ascii="宋体" w:hAnsi="宋体" w:eastAsia="宋体" w:cs="仿宋"/>
                <w:bCs/>
                <w:sz w:val="18"/>
                <w:szCs w:val="18"/>
                <w:highlight w:val="none"/>
              </w:rPr>
            </w:pPr>
            <w:r>
              <w:rPr>
                <w:rFonts w:hint="eastAsia" w:ascii="宋体" w:hAnsi="宋体" w:eastAsia="宋体" w:cs="仿宋"/>
                <w:bCs/>
                <w:sz w:val="18"/>
                <w:szCs w:val="18"/>
                <w:highlight w:val="none"/>
              </w:rPr>
              <w:t>统一社会信用代码：</w:t>
            </w:r>
          </w:p>
        </w:tc>
      </w:tr>
    </w:tbl>
    <w:p w14:paraId="135903A4">
      <w:pPr>
        <w:jc w:val="right"/>
        <w:rPr>
          <w:rFonts w:hint="eastAsia" w:ascii="宋体" w:hAnsi="宋体" w:eastAsia="宋体" w:cs="仿宋"/>
          <w:spacing w:val="20"/>
          <w:sz w:val="18"/>
          <w:szCs w:val="18"/>
          <w:highlight w:val="none"/>
        </w:rPr>
      </w:pPr>
      <w:bookmarkStart w:id="161" w:name="_Hlk104207101"/>
    </w:p>
    <w:p w14:paraId="6A5DD4E5">
      <w:pPr>
        <w:jc w:val="right"/>
        <w:rPr>
          <w:rFonts w:hint="eastAsia" w:ascii="宋体" w:hAnsi="宋体" w:eastAsia="宋体" w:cs="仿宋"/>
          <w:spacing w:val="20"/>
          <w:sz w:val="18"/>
          <w:szCs w:val="18"/>
          <w:highlight w:val="none"/>
        </w:rPr>
      </w:pPr>
    </w:p>
    <w:p w14:paraId="2711ACAC">
      <w:pPr>
        <w:jc w:val="right"/>
        <w:rPr>
          <w:rFonts w:hint="eastAsia" w:ascii="宋体" w:hAnsi="宋体" w:eastAsia="宋体" w:cs="仿宋"/>
          <w:spacing w:val="20"/>
          <w:sz w:val="18"/>
          <w:szCs w:val="18"/>
          <w:highlight w:val="none"/>
        </w:rPr>
      </w:pPr>
    </w:p>
    <w:p w14:paraId="609EBA6E">
      <w:pPr>
        <w:jc w:val="right"/>
        <w:rPr>
          <w:rFonts w:ascii="Times New Roman" w:hAnsi="Times New Roman"/>
          <w:sz w:val="24"/>
          <w:highlight w:val="none"/>
        </w:rPr>
      </w:pPr>
      <w:r>
        <w:rPr>
          <w:rFonts w:hint="eastAsia" w:ascii="宋体" w:hAnsi="宋体" w:eastAsia="宋体" w:cs="仿宋"/>
          <w:spacing w:val="20"/>
          <w:sz w:val="18"/>
          <w:szCs w:val="18"/>
          <w:highlight w:val="none"/>
        </w:rPr>
        <w:t>签约时间：</w:t>
      </w:r>
      <w:r>
        <w:rPr>
          <w:rFonts w:hint="eastAsia" w:ascii="宋体" w:hAnsi="宋体" w:eastAsia="宋体" w:cs="仿宋"/>
          <w:spacing w:val="20"/>
          <w:sz w:val="18"/>
          <w:szCs w:val="18"/>
          <w:highlight w:val="none"/>
          <w:u w:val="single"/>
        </w:rPr>
        <w:t xml:space="preserve">  202</w:t>
      </w:r>
      <w:r>
        <w:rPr>
          <w:rFonts w:hint="eastAsia" w:ascii="宋体" w:hAnsi="宋体" w:cs="仿宋"/>
          <w:spacing w:val="20"/>
          <w:sz w:val="18"/>
          <w:szCs w:val="18"/>
          <w:highlight w:val="none"/>
          <w:u w:val="single"/>
          <w:lang w:val="en-US" w:eastAsia="zh-CN"/>
        </w:rPr>
        <w:t>5</w:t>
      </w:r>
      <w:r>
        <w:rPr>
          <w:rFonts w:hint="eastAsia" w:ascii="宋体" w:hAnsi="宋体" w:eastAsia="宋体" w:cs="仿宋"/>
          <w:spacing w:val="20"/>
          <w:sz w:val="18"/>
          <w:szCs w:val="18"/>
          <w:highlight w:val="none"/>
          <w:u w:val="single"/>
        </w:rPr>
        <w:t xml:space="preserve">  </w:t>
      </w:r>
      <w:r>
        <w:rPr>
          <w:rFonts w:hint="eastAsia" w:ascii="宋体" w:hAnsi="宋体" w:eastAsia="宋体" w:cs="仿宋"/>
          <w:spacing w:val="20"/>
          <w:sz w:val="18"/>
          <w:szCs w:val="18"/>
          <w:highlight w:val="none"/>
        </w:rPr>
        <w:t>年</w:t>
      </w:r>
      <w:r>
        <w:rPr>
          <w:rFonts w:hint="eastAsia" w:ascii="宋体" w:hAnsi="宋体" w:eastAsia="宋体" w:cs="仿宋"/>
          <w:spacing w:val="20"/>
          <w:sz w:val="18"/>
          <w:szCs w:val="18"/>
          <w:highlight w:val="none"/>
          <w:u w:val="single"/>
        </w:rPr>
        <w:t xml:space="preserve">  </w:t>
      </w:r>
      <w:r>
        <w:rPr>
          <w:rFonts w:hint="eastAsia" w:ascii="宋体" w:hAnsi="宋体" w:cs="仿宋"/>
          <w:spacing w:val="20"/>
          <w:sz w:val="18"/>
          <w:szCs w:val="18"/>
          <w:highlight w:val="none"/>
          <w:u w:val="single"/>
          <w:lang w:val="en-US" w:eastAsia="zh-CN"/>
        </w:rPr>
        <w:t>10</w:t>
      </w:r>
      <w:r>
        <w:rPr>
          <w:rFonts w:hint="eastAsia" w:ascii="宋体" w:hAnsi="宋体" w:eastAsia="宋体" w:cs="仿宋"/>
          <w:spacing w:val="20"/>
          <w:sz w:val="18"/>
          <w:szCs w:val="18"/>
          <w:highlight w:val="none"/>
          <w:u w:val="single"/>
        </w:rPr>
        <w:t xml:space="preserve">  </w:t>
      </w:r>
      <w:r>
        <w:rPr>
          <w:rFonts w:hint="eastAsia" w:ascii="宋体" w:hAnsi="宋体" w:eastAsia="宋体" w:cs="仿宋"/>
          <w:spacing w:val="20"/>
          <w:sz w:val="18"/>
          <w:szCs w:val="18"/>
          <w:highlight w:val="none"/>
        </w:rPr>
        <w:t>月</w:t>
      </w:r>
      <w:r>
        <w:rPr>
          <w:rFonts w:hint="eastAsia" w:ascii="宋体" w:hAnsi="宋体" w:eastAsia="宋体" w:cs="仿宋"/>
          <w:spacing w:val="20"/>
          <w:sz w:val="18"/>
          <w:szCs w:val="18"/>
          <w:highlight w:val="none"/>
          <w:u w:val="single"/>
        </w:rPr>
        <w:t xml:space="preserve">    </w:t>
      </w:r>
      <w:r>
        <w:rPr>
          <w:rFonts w:hint="eastAsia" w:ascii="宋体" w:hAnsi="宋体" w:eastAsia="宋体" w:cs="仿宋"/>
          <w:spacing w:val="20"/>
          <w:sz w:val="18"/>
          <w:szCs w:val="18"/>
          <w:highlight w:val="none"/>
        </w:rPr>
        <w:t>日</w:t>
      </w:r>
      <w:bookmarkEnd w:id="161"/>
    </w:p>
    <w:p w14:paraId="2141F607">
      <w:pPr>
        <w:rPr>
          <w:rFonts w:ascii="Times New Roman" w:hAnsi="Times New Roman"/>
          <w:b/>
          <w:bCs/>
          <w:sz w:val="22"/>
          <w:highlight w:val="none"/>
        </w:rPr>
      </w:pPr>
      <w:r>
        <w:rPr>
          <w:rFonts w:ascii="Times New Roman" w:hAnsi="Times New Roman"/>
          <w:b/>
          <w:bCs/>
          <w:sz w:val="22"/>
          <w:highlight w:val="none"/>
        </w:rPr>
        <w:br w:type="page"/>
      </w:r>
    </w:p>
    <w:p w14:paraId="6CECA8FA">
      <w:pPr>
        <w:keepNext/>
        <w:keepLines/>
        <w:spacing w:before="120" w:line="440" w:lineRule="exact"/>
        <w:outlineLvl w:val="1"/>
        <w:rPr>
          <w:rFonts w:ascii="Times New Roman" w:hAnsi="Times New Roman"/>
          <w:szCs w:val="21"/>
          <w:highlight w:val="none"/>
        </w:rPr>
      </w:pPr>
      <w:r>
        <w:rPr>
          <w:rFonts w:ascii="Times New Roman" w:hAnsi="Times New Roman"/>
          <w:b/>
          <w:bCs/>
          <w:sz w:val="22"/>
          <w:highlight w:val="none"/>
        </w:rPr>
        <w:t>附件一</w:t>
      </w:r>
      <w:r>
        <w:rPr>
          <w:rFonts w:ascii="Times New Roman" w:hAnsi="Times New Roman"/>
          <w:b/>
          <w:bCs/>
          <w:sz w:val="22"/>
          <w:szCs w:val="22"/>
          <w:highlight w:val="none"/>
        </w:rPr>
        <w:t>：廉政合同</w:t>
      </w:r>
    </w:p>
    <w:p w14:paraId="40A10A37">
      <w:pPr>
        <w:pStyle w:val="9"/>
        <w:spacing w:after="0" w:line="360" w:lineRule="exact"/>
        <w:jc w:val="center"/>
        <w:rPr>
          <w:rFonts w:ascii="宋体" w:hAnsi="宋体" w:eastAsia="宋体" w:cs="Times New Roman"/>
          <w:b/>
          <w:bCs/>
          <w:sz w:val="32"/>
          <w:szCs w:val="32"/>
          <w:highlight w:val="none"/>
        </w:rPr>
      </w:pPr>
      <w:r>
        <w:rPr>
          <w:rFonts w:ascii="宋体" w:hAnsi="宋体" w:eastAsia="宋体" w:cs="Times New Roman"/>
          <w:b/>
          <w:bCs/>
          <w:sz w:val="32"/>
          <w:szCs w:val="32"/>
          <w:highlight w:val="none"/>
        </w:rPr>
        <w:t>廉政合同</w:t>
      </w:r>
    </w:p>
    <w:p w14:paraId="01F91FE8">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为抓好党风廉政建设，规范、约束采供双方行为，确保双方工作人员廉洁从业</w:t>
      </w:r>
      <w:r>
        <w:rPr>
          <w:rFonts w:hint="eastAsia" w:ascii="宋体" w:hAnsi="宋体" w:eastAsia="宋体" w:cs="宋体"/>
          <w:szCs w:val="21"/>
          <w:highlight w:val="none"/>
          <w:u w:val="none"/>
        </w:rPr>
        <w:t>，</w:t>
      </w:r>
      <w:r>
        <w:rPr>
          <w:rFonts w:hint="eastAsia" w:ascii="宋体" w:hAnsi="宋体" w:eastAsia="宋体" w:cs="宋体"/>
          <w:szCs w:val="21"/>
          <w:highlight w:val="none"/>
          <w:u w:val="single"/>
        </w:rPr>
        <w:t xml:space="preserve"> 青浦区华新镇安联明悦邸（安联·虹悦）2025年</w:t>
      </w:r>
      <w:r>
        <w:rPr>
          <w:rFonts w:hint="eastAsia" w:ascii="宋体" w:hAnsi="宋体" w:cs="宋体"/>
          <w:szCs w:val="21"/>
          <w:highlight w:val="none"/>
          <w:u w:val="single"/>
          <w:lang w:eastAsia="zh-CN"/>
        </w:rPr>
        <w:t>拓客</w:t>
      </w:r>
      <w:r>
        <w:rPr>
          <w:rFonts w:hint="eastAsia" w:ascii="宋体" w:hAnsi="宋体" w:eastAsia="宋体" w:cs="宋体"/>
          <w:szCs w:val="21"/>
          <w:highlight w:val="none"/>
          <w:u w:val="single"/>
        </w:rPr>
        <w:t xml:space="preserve">礼品采购 </w:t>
      </w:r>
      <w:r>
        <w:rPr>
          <w:rFonts w:hint="eastAsia" w:ascii="宋体" w:hAnsi="宋体" w:eastAsia="宋体" w:cs="宋体"/>
          <w:szCs w:val="21"/>
          <w:highlight w:val="none"/>
        </w:rPr>
        <w:t>的采购人</w:t>
      </w:r>
      <w:r>
        <w:rPr>
          <w:rFonts w:hint="eastAsia" w:ascii="宋体" w:hAnsi="宋体" w:eastAsia="宋体" w:cs="宋体"/>
          <w:szCs w:val="21"/>
          <w:highlight w:val="none"/>
          <w:u w:val="single"/>
        </w:rPr>
        <w:t xml:space="preserve"> 上海迈信房地产开发有限公司 </w:t>
      </w:r>
      <w:r>
        <w:rPr>
          <w:rFonts w:hint="eastAsia" w:ascii="宋体" w:hAnsi="宋体" w:eastAsia="宋体" w:cs="宋体"/>
          <w:szCs w:val="21"/>
          <w:highlight w:val="none"/>
        </w:rPr>
        <w:t>（以下简称甲方）与该项目的</w:t>
      </w:r>
      <w:r>
        <w:rPr>
          <w:rFonts w:hint="eastAsia" w:ascii="宋体" w:hAnsi="宋体" w:eastAsia="宋体" w:cs="宋体"/>
          <w:szCs w:val="21"/>
          <w:highlight w:val="none"/>
          <w:lang w:val="en-US" w:eastAsia="zh-CN"/>
        </w:rPr>
        <w:t>成交人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（以下简称乙方），特订立如下合同。</w:t>
      </w:r>
    </w:p>
    <w:p w14:paraId="187F5C3C">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1.甲乙双方的权利和义务</w:t>
      </w:r>
    </w:p>
    <w:p w14:paraId="17B6A2E1">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（1）严格遵守党的政策和国家有关法律法规的有关规定。</w:t>
      </w:r>
    </w:p>
    <w:p w14:paraId="37AA6F64">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（2）严格执行合同文件，自觉按合同办事。</w:t>
      </w:r>
    </w:p>
    <w:p w14:paraId="4D962E9B">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（3）双方的业务活动坚持公开、公正、诚信、透明的原则（法律认定的商业秘密和合同文件另有规定除外），不得损害国家和集体利益。</w:t>
      </w:r>
    </w:p>
    <w:p w14:paraId="703ADC5F">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（4）建立健全廉政制度，开展廉政教育和廉洁文化建设，公布举报电话，监督并认真查处违规违纪违法行为。</w:t>
      </w:r>
    </w:p>
    <w:p w14:paraId="242D1C74">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（5）发现对方在业务活动中有违反廉政规定的行为，有及时提醒对方纠正的权利和义务。</w:t>
      </w:r>
    </w:p>
    <w:p w14:paraId="0E8AE5EB">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（6）发现对方严重违反本合同义务条款的行为，有向有关部门举报、建议给予处理并要求告知处理结果的权利。</w:t>
      </w:r>
    </w:p>
    <w:p w14:paraId="4342CC3A">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2.甲方的义务</w:t>
      </w:r>
    </w:p>
    <w:p w14:paraId="6A961F07">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（1）甲方及其工作人员不得利用职务之便索要或接受乙方的礼品、礼金、消费卡和有价证券、股权、其他金融产品等财物。</w:t>
      </w:r>
    </w:p>
    <w:p w14:paraId="43748115">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（2）甲方及其工作人员不得在利用职务之便为乙方谋取利益之前或之后，约定在其离职后收受乙方财物，并在离职后收受。</w:t>
      </w:r>
    </w:p>
    <w:p w14:paraId="119F9935">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（3）甲方及其工作人员不得在乙方报销应由甲方或个人支付的费用等。</w:t>
      </w:r>
    </w:p>
    <w:p w14:paraId="115558FE">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（4）甲方及其工作人员不得要求或者接受乙方可能影响公正执行公务的宴请以及旅游、健身、娱乐等活动安排，不得要求和接受乙方提供的交通工具、通讯工具、高档办公用品等。</w:t>
      </w:r>
    </w:p>
    <w:p w14:paraId="01067F38">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02E4F9D">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（6）甲方及其工作人员不得要求乙方购买合同规定外的材料和设备。    </w:t>
      </w:r>
    </w:p>
    <w:p w14:paraId="3DC12FA5">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（7）甲方及其工作人员不得有其他可能影响廉洁从业的行为。</w:t>
      </w:r>
    </w:p>
    <w:p w14:paraId="4ECB8052">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3.乙方义务</w:t>
      </w:r>
    </w:p>
    <w:p w14:paraId="22D50F57">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（1）乙方及其工作人员不得以任何形式向甲方及其工作人员行贿或馈赠礼品、礼金、消费卡和有价证券、股权、其他金融产品等财物，以及回扣、好处费、感谢费等。</w:t>
      </w:r>
    </w:p>
    <w:p w14:paraId="24460573">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（2）乙方及其工作人员不得与甲方及其工作人员约定，甲方及其工作人员利用职务之便为乙方谋取利益，乙方在其离职后给予财物。</w:t>
      </w:r>
    </w:p>
    <w:p w14:paraId="3434AEB6">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（3）乙方不得以任何名义为甲方及其工作人员报销由甲方单位或个人支付的任何费用。</w:t>
      </w:r>
    </w:p>
    <w:p w14:paraId="19AE838A">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14:paraId="42253695">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（5）乙方及其工作人员不得为甲方工作人员住房装修、婚丧嫁娶、出国出境、旅游等提供方便；不得为甲方工作人员的特定关系人以安排工作为名，使其不实际工作却获取薪酬。</w:t>
      </w:r>
    </w:p>
    <w:p w14:paraId="1F3B4137">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（6）甲方及其工作人员不得有其他可能影响廉洁从业的行为。</w:t>
      </w:r>
    </w:p>
    <w:p w14:paraId="127CF54E">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4.违约责任</w:t>
      </w:r>
    </w:p>
    <w:p w14:paraId="7495A599">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（1）甲方及其工作人员违反本合同第1、2条，按管理权限，依据有关规定给予党纪政务处分和组织处理；涉嫌犯罪的，移交司法机关追究刑事责任；给乙方单位造成经济损失的，应予以赔偿。</w:t>
      </w:r>
    </w:p>
    <w:p w14:paraId="5F801ECB">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（2）乙方及其工作人员违反本合同第1、3条，按管理权限，依据有关规定，给予相关处理；给甲方单位造成经济损失的，应予以赔偿。</w:t>
      </w:r>
    </w:p>
    <w:p w14:paraId="5EBAB139">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5.本合同有效期为甲乙双方签署之日起至该合同履行完毕后止。</w:t>
      </w:r>
    </w:p>
    <w:p w14:paraId="06FF1EE7">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6.本合同作为</w:t>
      </w:r>
      <w:r>
        <w:rPr>
          <w:rFonts w:hint="eastAsia" w:ascii="宋体" w:hAnsi="宋体" w:eastAsia="宋体" w:cs="宋体"/>
          <w:szCs w:val="21"/>
          <w:highlight w:val="none"/>
          <w:u w:val="single"/>
        </w:rPr>
        <w:t xml:space="preserve"> 青浦区华新镇安联明悦邸（安联·虹悦）2025年</w:t>
      </w:r>
      <w:r>
        <w:rPr>
          <w:rFonts w:hint="eastAsia" w:ascii="宋体" w:hAnsi="宋体" w:cs="宋体"/>
          <w:szCs w:val="21"/>
          <w:highlight w:val="none"/>
          <w:u w:val="single"/>
          <w:lang w:eastAsia="zh-CN"/>
        </w:rPr>
        <w:t>拓客</w:t>
      </w:r>
      <w:r>
        <w:rPr>
          <w:rFonts w:hint="eastAsia" w:ascii="宋体" w:hAnsi="宋体" w:eastAsia="宋体" w:cs="宋体"/>
          <w:szCs w:val="21"/>
          <w:highlight w:val="none"/>
          <w:u w:val="single"/>
        </w:rPr>
        <w:t>礼品采购</w:t>
      </w:r>
      <w:r>
        <w:rPr>
          <w:rFonts w:hint="eastAsia" w:ascii="宋体" w:hAnsi="宋体" w:eastAsia="宋体" w:cs="宋体"/>
          <w:szCs w:val="21"/>
          <w:highlight w:val="none"/>
          <w:u w:val="single"/>
          <w:lang w:val="en-US" w:eastAsia="zh-CN"/>
        </w:rPr>
        <w:t xml:space="preserve">合同 </w:t>
      </w:r>
      <w:r>
        <w:rPr>
          <w:rFonts w:hint="eastAsia" w:ascii="宋体" w:hAnsi="宋体" w:eastAsia="宋体" w:cs="宋体"/>
          <w:szCs w:val="21"/>
          <w:highlight w:val="none"/>
        </w:rPr>
        <w:t>的附件，与采购合同具有同等的法律效力，经合同双方签署立即生效。</w:t>
      </w:r>
    </w:p>
    <w:p w14:paraId="32D9FC48">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7.本合同一式</w:t>
      </w:r>
      <w:r>
        <w:rPr>
          <w:rFonts w:hint="eastAsia" w:ascii="宋体" w:hAnsi="宋体" w:eastAsia="宋体" w:cs="宋体"/>
          <w:szCs w:val="21"/>
          <w:highlight w:val="none"/>
          <w:u w:val="single"/>
        </w:rPr>
        <w:t xml:space="preserve"> 陆 </w:t>
      </w:r>
      <w:r>
        <w:rPr>
          <w:rFonts w:hint="eastAsia" w:ascii="宋体" w:hAnsi="宋体" w:eastAsia="宋体" w:cs="宋体"/>
          <w:szCs w:val="21"/>
          <w:highlight w:val="none"/>
        </w:rPr>
        <w:t>份，甲方执</w:t>
      </w:r>
      <w:r>
        <w:rPr>
          <w:rFonts w:hint="eastAsia" w:ascii="宋体" w:hAnsi="宋体" w:eastAsia="宋体" w:cs="宋体"/>
          <w:szCs w:val="21"/>
          <w:highlight w:val="none"/>
          <w:u w:val="single"/>
        </w:rPr>
        <w:t xml:space="preserve"> 肆 </w:t>
      </w:r>
      <w:r>
        <w:rPr>
          <w:rFonts w:hint="eastAsia" w:ascii="宋体" w:hAnsi="宋体" w:eastAsia="宋体" w:cs="宋体"/>
          <w:szCs w:val="21"/>
          <w:highlight w:val="none"/>
        </w:rPr>
        <w:t>份，乙方执</w:t>
      </w:r>
      <w:r>
        <w:rPr>
          <w:rFonts w:hint="eastAsia" w:ascii="宋体" w:hAnsi="宋体" w:eastAsia="宋体" w:cs="宋体"/>
          <w:szCs w:val="21"/>
          <w:highlight w:val="none"/>
          <w:u w:val="single"/>
        </w:rPr>
        <w:t xml:space="preserve"> 贰 </w:t>
      </w:r>
      <w:r>
        <w:rPr>
          <w:rFonts w:hint="eastAsia" w:ascii="宋体" w:hAnsi="宋体" w:eastAsia="宋体" w:cs="宋体"/>
          <w:szCs w:val="21"/>
          <w:highlight w:val="none"/>
        </w:rPr>
        <w:t>份。</w:t>
      </w:r>
    </w:p>
    <w:p w14:paraId="1314044B">
      <w:pPr>
        <w:pStyle w:val="9"/>
        <w:rPr>
          <w:rFonts w:hint="eastAsia" w:ascii="宋体" w:hAnsi="宋体" w:eastAsia="宋体" w:cs="宋体"/>
          <w:szCs w:val="21"/>
          <w:highlight w:val="none"/>
        </w:rPr>
      </w:pPr>
    </w:p>
    <w:p w14:paraId="5E2EAF43">
      <w:pPr>
        <w:pStyle w:val="9"/>
        <w:rPr>
          <w:rFonts w:hint="eastAsia" w:ascii="宋体" w:hAnsi="宋体" w:eastAsia="宋体" w:cs="宋体"/>
          <w:szCs w:val="21"/>
          <w:highlight w:val="none"/>
        </w:rPr>
      </w:pPr>
    </w:p>
    <w:p w14:paraId="3DE5307A">
      <w:pPr>
        <w:pStyle w:val="9"/>
        <w:rPr>
          <w:rFonts w:hint="eastAsia" w:ascii="宋体" w:hAnsi="宋体" w:eastAsia="宋体" w:cs="宋体"/>
          <w:szCs w:val="21"/>
          <w:highlight w:val="none"/>
        </w:rPr>
      </w:pPr>
      <w:bookmarkStart w:id="162" w:name="_Hlk120003343"/>
      <w:r>
        <w:rPr>
          <w:rFonts w:hint="eastAsia" w:ascii="宋体" w:hAnsi="宋体" w:eastAsia="宋体" w:cs="宋体"/>
          <w:szCs w:val="21"/>
          <w:highlight w:val="none"/>
        </w:rPr>
        <w:t>甲方单位：（盖章）                   乙方单位：（盖章）</w:t>
      </w:r>
    </w:p>
    <w:p w14:paraId="2D75464A">
      <w:pPr>
        <w:pStyle w:val="9"/>
        <w:rPr>
          <w:rFonts w:hint="eastAsia" w:ascii="宋体" w:hAnsi="宋体" w:eastAsia="宋体" w:cs="宋体"/>
          <w:szCs w:val="21"/>
          <w:highlight w:val="none"/>
        </w:rPr>
      </w:pPr>
    </w:p>
    <w:p w14:paraId="41B1396E">
      <w:pPr>
        <w:pStyle w:val="9"/>
        <w:rPr>
          <w:rFonts w:hint="eastAsia" w:ascii="宋体" w:hAnsi="宋体" w:eastAsia="宋体" w:cs="宋体"/>
          <w:szCs w:val="21"/>
          <w:highlight w:val="none"/>
        </w:rPr>
      </w:pPr>
      <w:r>
        <w:rPr>
          <w:rFonts w:hint="eastAsia" w:ascii="宋体" w:hAnsi="宋体" w:eastAsia="宋体" w:cs="宋体"/>
          <w:szCs w:val="21"/>
          <w:highlight w:val="none"/>
        </w:rPr>
        <w:t>法定代表人：                        法定代表人：</w:t>
      </w:r>
    </w:p>
    <w:p w14:paraId="4282F819">
      <w:pPr>
        <w:pStyle w:val="9"/>
        <w:rPr>
          <w:rFonts w:hint="eastAsia" w:ascii="宋体" w:hAnsi="宋体" w:eastAsia="宋体" w:cs="宋体"/>
          <w:szCs w:val="21"/>
          <w:highlight w:val="none"/>
        </w:rPr>
      </w:pPr>
      <w:r>
        <w:rPr>
          <w:rFonts w:hint="eastAsia" w:ascii="宋体" w:hAnsi="宋体" w:eastAsia="宋体" w:cs="宋体"/>
          <w:szCs w:val="21"/>
          <w:highlight w:val="none"/>
        </w:rPr>
        <w:t>或                                  或</w:t>
      </w:r>
    </w:p>
    <w:p w14:paraId="3C5BBB60">
      <w:pPr>
        <w:pStyle w:val="9"/>
        <w:rPr>
          <w:rFonts w:hint="eastAsia" w:ascii="宋体" w:hAnsi="宋体" w:eastAsia="宋体" w:cs="宋体"/>
          <w:szCs w:val="21"/>
          <w:highlight w:val="none"/>
        </w:rPr>
      </w:pPr>
      <w:r>
        <w:rPr>
          <w:rFonts w:hint="eastAsia" w:ascii="宋体" w:hAnsi="宋体" w:eastAsia="宋体" w:cs="宋体"/>
          <w:szCs w:val="21"/>
          <w:highlight w:val="none"/>
        </w:rPr>
        <w:t xml:space="preserve">其授权的代理人：                    其授权的代理人：          </w:t>
      </w:r>
    </w:p>
    <w:p w14:paraId="6B4703FE">
      <w:pPr>
        <w:pStyle w:val="9"/>
        <w:rPr>
          <w:rFonts w:hint="eastAsia" w:ascii="宋体" w:hAnsi="宋体" w:eastAsia="宋体" w:cs="宋体"/>
          <w:szCs w:val="21"/>
          <w:highlight w:val="none"/>
        </w:rPr>
      </w:pPr>
    </w:p>
    <w:p w14:paraId="147D1EC8">
      <w:pPr>
        <w:pStyle w:val="9"/>
        <w:rPr>
          <w:rFonts w:hint="eastAsia" w:ascii="Times New Roman" w:hAnsi="Times New Roman" w:eastAsia="宋体"/>
          <w:highlight w:val="none"/>
          <w:lang w:val="en-US" w:eastAsia="zh-CN"/>
        </w:rPr>
      </w:pPr>
      <w:r>
        <w:rPr>
          <w:rFonts w:hint="eastAsia" w:ascii="宋体" w:hAnsi="宋体" w:cs="宋体"/>
          <w:szCs w:val="21"/>
          <w:highlight w:val="none"/>
          <w:lang w:val="en-US" w:eastAsia="zh-CN"/>
        </w:rPr>
        <w:t xml:space="preserve">2025 </w:t>
      </w:r>
      <w:r>
        <w:rPr>
          <w:rFonts w:hint="eastAsia" w:ascii="宋体" w:hAnsi="宋体" w:eastAsia="宋体" w:cs="宋体"/>
          <w:szCs w:val="21"/>
          <w:highlight w:val="none"/>
        </w:rPr>
        <w:t xml:space="preserve">年 </w:t>
      </w:r>
      <w:r>
        <w:rPr>
          <w:rFonts w:hint="eastAsia" w:ascii="宋体" w:hAnsi="宋体" w:cs="宋体"/>
          <w:szCs w:val="21"/>
          <w:highlight w:val="none"/>
          <w:lang w:val="en-US" w:eastAsia="zh-CN"/>
        </w:rPr>
        <w:t>10</w:t>
      </w:r>
      <w:r>
        <w:rPr>
          <w:rFonts w:hint="eastAsia" w:ascii="宋体" w:hAnsi="宋体" w:eastAsia="宋体" w:cs="宋体"/>
          <w:szCs w:val="21"/>
          <w:highlight w:val="none"/>
        </w:rPr>
        <w:t xml:space="preserve"> 月   日                        年   月   日</w:t>
      </w:r>
      <w:bookmarkEnd w:id="162"/>
      <w:bookmarkStart w:id="163" w:name="_Toc6623_WPSOffice_Level1"/>
    </w:p>
    <w:bookmarkEnd w:id="163"/>
    <w:p w14:paraId="3458C58E">
      <w:pPr>
        <w:rPr>
          <w:rFonts w:ascii="Times New Roman" w:hAnsi="Times New Roman" w:eastAsia="宋体"/>
          <w:highlight w:val="none"/>
        </w:rPr>
      </w:pPr>
      <w:bookmarkStart w:id="164" w:name="_Toc5702_WPSOffice_Level1"/>
      <w:r>
        <w:rPr>
          <w:rFonts w:ascii="Times New Roman" w:hAnsi="Times New Roman" w:eastAsia="宋体"/>
          <w:highlight w:val="none"/>
        </w:rPr>
        <w:br w:type="page"/>
      </w:r>
    </w:p>
    <w:p w14:paraId="72647014">
      <w:pPr>
        <w:pStyle w:val="2"/>
        <w:numPr>
          <w:ilvl w:val="0"/>
          <w:numId w:val="3"/>
        </w:numPr>
        <w:spacing w:before="312" w:after="312"/>
        <w:ind w:left="402" w:leftChars="0"/>
        <w:rPr>
          <w:rFonts w:ascii="Times New Roman" w:hAnsi="Times New Roman" w:eastAsia="宋体"/>
          <w:highlight w:val="none"/>
        </w:rPr>
      </w:pPr>
      <w:r>
        <w:rPr>
          <w:rFonts w:ascii="Times New Roman" w:hAnsi="Times New Roman" w:eastAsia="宋体"/>
          <w:highlight w:val="none"/>
        </w:rPr>
        <w:t>响应文件格式</w:t>
      </w:r>
      <w:bookmarkEnd w:id="164"/>
    </w:p>
    <w:p w14:paraId="1DCACD5F">
      <w:pPr>
        <w:numPr>
          <w:ilvl w:val="0"/>
          <w:numId w:val="0"/>
        </w:numPr>
        <w:rPr>
          <w:highlight w:val="none"/>
        </w:rPr>
      </w:pPr>
    </w:p>
    <w:p w14:paraId="626571C3">
      <w:pPr>
        <w:spacing w:line="580" w:lineRule="exact"/>
        <w:jc w:val="center"/>
        <w:rPr>
          <w:rFonts w:hint="eastAsia" w:ascii="仿宋_GB2312" w:hAnsi="Times New Roman" w:eastAsia="仿宋_GB2312" w:cs="Times New Roman"/>
          <w:b/>
          <w:bCs/>
          <w:sz w:val="40"/>
          <w:szCs w:val="40"/>
          <w:highlight w:val="none"/>
        </w:rPr>
      </w:pPr>
      <w:r>
        <w:rPr>
          <w:rFonts w:hint="eastAsia" w:ascii="仿宋_GB2312" w:hAnsi="Times New Roman" w:eastAsia="仿宋_GB2312" w:cs="Times New Roman"/>
          <w:b/>
          <w:bCs/>
          <w:sz w:val="40"/>
          <w:szCs w:val="40"/>
          <w:highlight w:val="none"/>
        </w:rPr>
        <w:t>青浦区华新镇安联明悦邸（安联·虹悦）</w:t>
      </w:r>
    </w:p>
    <w:p w14:paraId="6FCE334F">
      <w:pPr>
        <w:spacing w:line="580" w:lineRule="exact"/>
        <w:jc w:val="center"/>
        <w:rPr>
          <w:rFonts w:hint="eastAsia" w:ascii="仿宋_GB2312" w:hAnsi="Times New Roman" w:eastAsia="仿宋_GB2312" w:cs="Times New Roman"/>
          <w:b/>
          <w:bCs/>
          <w:sz w:val="40"/>
          <w:szCs w:val="40"/>
          <w:highlight w:val="none"/>
        </w:rPr>
      </w:pPr>
      <w:r>
        <w:rPr>
          <w:rFonts w:hint="eastAsia" w:ascii="仿宋_GB2312" w:hAnsi="Times New Roman" w:eastAsia="仿宋_GB2312" w:cs="Times New Roman"/>
          <w:b/>
          <w:bCs/>
          <w:sz w:val="40"/>
          <w:szCs w:val="40"/>
          <w:highlight w:val="none"/>
          <w:lang w:val="en-US" w:eastAsia="zh-CN"/>
        </w:rPr>
        <w:t>2025年拓客礼品采购</w:t>
      </w:r>
    </w:p>
    <w:p w14:paraId="6BB882FC">
      <w:pPr>
        <w:spacing w:line="440" w:lineRule="exact"/>
        <w:rPr>
          <w:rFonts w:ascii="Times New Roman" w:hAnsi="Times New Roman" w:eastAsia="黑体"/>
          <w:sz w:val="20"/>
          <w:szCs w:val="20"/>
          <w:highlight w:val="none"/>
        </w:rPr>
      </w:pPr>
      <w:r>
        <w:rPr>
          <w:rFonts w:ascii="Times New Roman" w:hAnsi="Times New Roman" w:eastAsia="黑体"/>
          <w:sz w:val="20"/>
          <w:szCs w:val="20"/>
          <w:highlight w:val="none"/>
        </w:rPr>
        <w:t xml:space="preserve"> </w:t>
      </w:r>
    </w:p>
    <w:p w14:paraId="6CEBAF8F">
      <w:pPr>
        <w:spacing w:line="440" w:lineRule="exact"/>
        <w:rPr>
          <w:rFonts w:ascii="Times New Roman" w:hAnsi="Times New Roman" w:eastAsia="黑体"/>
          <w:sz w:val="40"/>
          <w:szCs w:val="40"/>
          <w:highlight w:val="none"/>
        </w:rPr>
      </w:pPr>
    </w:p>
    <w:p w14:paraId="6514210C">
      <w:pPr>
        <w:spacing w:line="440" w:lineRule="exact"/>
        <w:jc w:val="center"/>
        <w:rPr>
          <w:rFonts w:ascii="Times New Roman" w:hAnsi="Times New Roman" w:eastAsia="黑体"/>
          <w:sz w:val="40"/>
          <w:szCs w:val="40"/>
          <w:highlight w:val="none"/>
        </w:rPr>
      </w:pPr>
    </w:p>
    <w:p w14:paraId="5316BF42">
      <w:pPr>
        <w:spacing w:line="440" w:lineRule="exact"/>
        <w:jc w:val="center"/>
        <w:rPr>
          <w:rFonts w:ascii="Times New Roman" w:hAnsi="Times New Roman" w:eastAsia="黑体"/>
          <w:sz w:val="40"/>
          <w:szCs w:val="40"/>
          <w:highlight w:val="none"/>
        </w:rPr>
      </w:pPr>
    </w:p>
    <w:p w14:paraId="10F575FE">
      <w:pPr>
        <w:spacing w:line="440" w:lineRule="exact"/>
        <w:jc w:val="center"/>
        <w:rPr>
          <w:rFonts w:ascii="Times New Roman" w:hAnsi="Times New Roman" w:eastAsia="黑体"/>
          <w:sz w:val="40"/>
          <w:szCs w:val="40"/>
          <w:highlight w:val="none"/>
        </w:rPr>
      </w:pPr>
    </w:p>
    <w:p w14:paraId="5B169274">
      <w:pPr>
        <w:jc w:val="center"/>
        <w:rPr>
          <w:rFonts w:ascii="Times New Roman" w:hAnsi="Times New Roman" w:eastAsia="黑体"/>
          <w:sz w:val="50"/>
          <w:szCs w:val="50"/>
          <w:highlight w:val="none"/>
        </w:rPr>
      </w:pPr>
      <w:bookmarkStart w:id="165" w:name="_Toc1914_WPSOffice_Level1"/>
      <w:bookmarkStart w:id="166" w:name="_Toc6393_WPSOffice_Level1"/>
      <w:bookmarkStart w:id="167" w:name="_Toc17394_WPSOffice_Level1"/>
      <w:bookmarkStart w:id="168" w:name="_Toc5145_WPSOffice_Level1"/>
      <w:bookmarkStart w:id="169" w:name="_Toc16966_WPSOffice_Level1"/>
      <w:bookmarkStart w:id="170" w:name="_Toc27552_WPSOffice_Level1"/>
      <w:r>
        <w:rPr>
          <w:rFonts w:ascii="Times New Roman" w:hAnsi="Times New Roman" w:eastAsia="黑体"/>
          <w:sz w:val="50"/>
          <w:szCs w:val="50"/>
          <w:highlight w:val="none"/>
        </w:rPr>
        <w:t>响  应  文  件</w:t>
      </w:r>
      <w:bookmarkEnd w:id="165"/>
      <w:bookmarkEnd w:id="166"/>
      <w:bookmarkEnd w:id="167"/>
      <w:bookmarkEnd w:id="168"/>
      <w:bookmarkEnd w:id="169"/>
      <w:bookmarkEnd w:id="170"/>
    </w:p>
    <w:p w14:paraId="7BCEE4B7">
      <w:pPr>
        <w:spacing w:line="440" w:lineRule="exact"/>
        <w:rPr>
          <w:rFonts w:ascii="Times New Roman" w:hAnsi="Times New Roman" w:eastAsia="黑体"/>
          <w:sz w:val="20"/>
          <w:szCs w:val="20"/>
          <w:highlight w:val="none"/>
        </w:rPr>
      </w:pPr>
    </w:p>
    <w:p w14:paraId="3188CCC5">
      <w:pPr>
        <w:spacing w:line="440" w:lineRule="exact"/>
        <w:rPr>
          <w:rFonts w:ascii="Times New Roman" w:hAnsi="Times New Roman" w:eastAsia="黑体"/>
          <w:sz w:val="20"/>
          <w:szCs w:val="20"/>
          <w:highlight w:val="none"/>
        </w:rPr>
      </w:pPr>
    </w:p>
    <w:p w14:paraId="341CEEF4">
      <w:pPr>
        <w:spacing w:line="440" w:lineRule="exact"/>
        <w:rPr>
          <w:rFonts w:ascii="Times New Roman" w:hAnsi="Times New Roman" w:eastAsia="黑体"/>
          <w:sz w:val="20"/>
          <w:szCs w:val="20"/>
          <w:highlight w:val="none"/>
        </w:rPr>
      </w:pPr>
    </w:p>
    <w:p w14:paraId="7CDBA4FD">
      <w:pPr>
        <w:spacing w:line="440" w:lineRule="exact"/>
        <w:rPr>
          <w:rFonts w:ascii="Times New Roman" w:hAnsi="Times New Roman" w:eastAsia="黑体"/>
          <w:sz w:val="20"/>
          <w:szCs w:val="20"/>
          <w:highlight w:val="none"/>
        </w:rPr>
      </w:pPr>
    </w:p>
    <w:p w14:paraId="1B12A37F">
      <w:pPr>
        <w:spacing w:line="440" w:lineRule="exact"/>
        <w:rPr>
          <w:rFonts w:ascii="Times New Roman" w:hAnsi="Times New Roman" w:eastAsia="黑体"/>
          <w:sz w:val="20"/>
          <w:szCs w:val="20"/>
          <w:highlight w:val="none"/>
        </w:rPr>
      </w:pPr>
    </w:p>
    <w:p w14:paraId="26175AF2">
      <w:pPr>
        <w:spacing w:line="440" w:lineRule="exact"/>
        <w:rPr>
          <w:rFonts w:ascii="Times New Roman" w:hAnsi="Times New Roman" w:eastAsia="黑体"/>
          <w:sz w:val="20"/>
          <w:szCs w:val="20"/>
          <w:highlight w:val="none"/>
        </w:rPr>
      </w:pPr>
    </w:p>
    <w:p w14:paraId="50816F64">
      <w:pPr>
        <w:spacing w:line="440" w:lineRule="exact"/>
        <w:rPr>
          <w:rFonts w:ascii="Times New Roman" w:hAnsi="Times New Roman" w:eastAsia="黑体"/>
          <w:sz w:val="20"/>
          <w:szCs w:val="20"/>
          <w:highlight w:val="none"/>
        </w:rPr>
      </w:pPr>
    </w:p>
    <w:p w14:paraId="3FE02B8A">
      <w:pPr>
        <w:spacing w:line="440" w:lineRule="exact"/>
        <w:rPr>
          <w:rFonts w:ascii="Times New Roman" w:hAnsi="Times New Roman" w:eastAsia="黑体"/>
          <w:sz w:val="20"/>
          <w:szCs w:val="20"/>
          <w:highlight w:val="none"/>
        </w:rPr>
      </w:pPr>
    </w:p>
    <w:p w14:paraId="62D7AF7E">
      <w:pPr>
        <w:spacing w:line="440" w:lineRule="exact"/>
        <w:rPr>
          <w:rFonts w:ascii="Times New Roman" w:hAnsi="Times New Roman" w:eastAsia="黑体"/>
          <w:sz w:val="20"/>
          <w:szCs w:val="20"/>
          <w:highlight w:val="none"/>
        </w:rPr>
      </w:pPr>
    </w:p>
    <w:p w14:paraId="2635FB1D">
      <w:pPr>
        <w:spacing w:line="440" w:lineRule="exact"/>
        <w:rPr>
          <w:rFonts w:ascii="Times New Roman" w:hAnsi="Times New Roman" w:eastAsia="黑体"/>
          <w:sz w:val="20"/>
          <w:szCs w:val="20"/>
          <w:highlight w:val="none"/>
        </w:rPr>
      </w:pPr>
    </w:p>
    <w:p w14:paraId="70E32F1A">
      <w:pPr>
        <w:spacing w:line="440" w:lineRule="exact"/>
        <w:jc w:val="center"/>
        <w:rPr>
          <w:rFonts w:ascii="Times New Roman" w:hAnsi="Times New Roman" w:eastAsia="黑体"/>
          <w:sz w:val="28"/>
          <w:szCs w:val="28"/>
          <w:highlight w:val="none"/>
        </w:rPr>
      </w:pPr>
      <w:bookmarkStart w:id="171" w:name="_Toc5520_WPSOffice_Level2"/>
      <w:bookmarkStart w:id="172" w:name="_Toc25232_WPSOffice_Level2"/>
      <w:r>
        <w:rPr>
          <w:rFonts w:ascii="Times New Roman" w:hAnsi="Times New Roman" w:eastAsia="黑体"/>
          <w:sz w:val="28"/>
          <w:szCs w:val="28"/>
          <w:highlight w:val="none"/>
        </w:rPr>
        <w:t>供应商：</w:t>
      </w:r>
      <w:r>
        <w:rPr>
          <w:rFonts w:ascii="Times New Roman" w:hAnsi="Times New Roman" w:eastAsia="黑体"/>
          <w:sz w:val="28"/>
          <w:szCs w:val="28"/>
          <w:highlight w:val="none"/>
          <w:u w:val="single"/>
        </w:rPr>
        <w:t xml:space="preserve">            (全称、盖单位章)</w:t>
      </w:r>
      <w:bookmarkEnd w:id="171"/>
      <w:bookmarkEnd w:id="172"/>
      <w:r>
        <w:rPr>
          <w:rFonts w:ascii="Times New Roman" w:hAnsi="Times New Roman" w:eastAsia="黑体"/>
          <w:sz w:val="28"/>
          <w:szCs w:val="28"/>
          <w:highlight w:val="none"/>
          <w:u w:val="single"/>
        </w:rPr>
        <w:t xml:space="preserve">           </w:t>
      </w:r>
    </w:p>
    <w:p w14:paraId="45EC53DA">
      <w:pPr>
        <w:spacing w:line="440" w:lineRule="exact"/>
        <w:ind w:firstLine="2158" w:firstLineChars="771"/>
        <w:rPr>
          <w:rFonts w:ascii="Times New Roman" w:hAnsi="Times New Roman" w:eastAsia="黑体"/>
          <w:sz w:val="28"/>
          <w:szCs w:val="28"/>
          <w:highlight w:val="none"/>
        </w:rPr>
      </w:pPr>
    </w:p>
    <w:p w14:paraId="6D1C728D">
      <w:pPr>
        <w:spacing w:line="44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u w:val="single"/>
        </w:rPr>
        <w:t xml:space="preserve">          </w:t>
      </w:r>
      <w:bookmarkStart w:id="173" w:name="_Toc20076_WPSOffice_Level2"/>
      <w:bookmarkStart w:id="174" w:name="_Toc31577_WPSOffice_Level2"/>
      <w:r>
        <w:rPr>
          <w:rFonts w:ascii="Times New Roman" w:hAnsi="Times New Roman" w:eastAsia="黑体"/>
          <w:sz w:val="28"/>
          <w:szCs w:val="28"/>
          <w:highlight w:val="none"/>
        </w:rPr>
        <w:t>年</w:t>
      </w:r>
      <w:r>
        <w:rPr>
          <w:rFonts w:ascii="Times New Roman" w:hAnsi="Times New Roman" w:eastAsia="黑体"/>
          <w:sz w:val="28"/>
          <w:szCs w:val="28"/>
          <w:highlight w:val="none"/>
          <w:u w:val="single"/>
        </w:rPr>
        <w:t xml:space="preserve">        </w:t>
      </w:r>
      <w:r>
        <w:rPr>
          <w:rFonts w:ascii="Times New Roman" w:hAnsi="Times New Roman" w:eastAsia="黑体"/>
          <w:sz w:val="28"/>
          <w:szCs w:val="28"/>
          <w:highlight w:val="none"/>
        </w:rPr>
        <w:t>月</w:t>
      </w:r>
      <w:r>
        <w:rPr>
          <w:rFonts w:ascii="Times New Roman" w:hAnsi="Times New Roman" w:eastAsia="黑体"/>
          <w:sz w:val="28"/>
          <w:szCs w:val="28"/>
          <w:highlight w:val="none"/>
          <w:u w:val="single"/>
        </w:rPr>
        <w:t xml:space="preserve">         </w:t>
      </w:r>
      <w:r>
        <w:rPr>
          <w:rFonts w:ascii="Times New Roman" w:hAnsi="Times New Roman" w:eastAsia="黑体"/>
          <w:sz w:val="28"/>
          <w:szCs w:val="28"/>
          <w:highlight w:val="none"/>
        </w:rPr>
        <w:t>日</w:t>
      </w:r>
      <w:bookmarkEnd w:id="173"/>
      <w:bookmarkEnd w:id="174"/>
    </w:p>
    <w:p w14:paraId="62E9959A">
      <w:pPr>
        <w:spacing w:line="440" w:lineRule="exact"/>
        <w:rPr>
          <w:rFonts w:ascii="Times New Roman" w:hAnsi="Times New Roman" w:eastAsia="黑体"/>
          <w:sz w:val="28"/>
          <w:szCs w:val="28"/>
          <w:highlight w:val="none"/>
        </w:rPr>
      </w:pPr>
    </w:p>
    <w:p w14:paraId="6D58DD8A">
      <w:pPr>
        <w:spacing w:line="440" w:lineRule="exact"/>
        <w:jc w:val="center"/>
        <w:rPr>
          <w:rFonts w:ascii="Times New Roman" w:hAnsi="Times New Roman" w:eastAsia="黑体"/>
          <w:sz w:val="28"/>
          <w:szCs w:val="28"/>
          <w:highlight w:val="none"/>
        </w:rPr>
      </w:pPr>
      <w:r>
        <w:rPr>
          <w:rFonts w:ascii="Times New Roman" w:hAnsi="Times New Roman" w:eastAsia="黑体"/>
          <w:sz w:val="20"/>
          <w:szCs w:val="20"/>
          <w:highlight w:val="none"/>
        </w:rPr>
        <w:br w:type="page"/>
      </w:r>
      <w:bookmarkStart w:id="175" w:name="_Toc21974_WPSOffice_Level2"/>
      <w:bookmarkStart w:id="176" w:name="_Toc22351_WPSOffice_Level2"/>
      <w:r>
        <w:rPr>
          <w:rFonts w:ascii="Times New Roman" w:hAnsi="Times New Roman" w:eastAsia="黑体"/>
          <w:sz w:val="28"/>
          <w:szCs w:val="28"/>
          <w:highlight w:val="none"/>
        </w:rPr>
        <w:t>目     录</w:t>
      </w:r>
      <w:bookmarkEnd w:id="175"/>
      <w:bookmarkEnd w:id="176"/>
    </w:p>
    <w:p w14:paraId="03C3A7FC">
      <w:pPr>
        <w:spacing w:line="440" w:lineRule="exact"/>
        <w:rPr>
          <w:rFonts w:ascii="Times New Roman" w:hAnsi="Times New Roman" w:eastAsia="黑体"/>
          <w:sz w:val="20"/>
          <w:szCs w:val="20"/>
          <w:highlight w:val="none"/>
        </w:rPr>
      </w:pPr>
    </w:p>
    <w:p w14:paraId="2FA5FA99">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一、报价函</w:t>
      </w:r>
    </w:p>
    <w:p w14:paraId="0D8B8B73">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二、法定代表人身份证明及授权委托书</w:t>
      </w:r>
    </w:p>
    <w:p w14:paraId="3D717E07">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三、已标价的报价清单</w:t>
      </w:r>
    </w:p>
    <w:p w14:paraId="45FC9A10">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四、供应商基本情况</w:t>
      </w:r>
    </w:p>
    <w:p w14:paraId="06AF2CEF">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五、近年类似业绩情况</w:t>
      </w:r>
    </w:p>
    <w:p w14:paraId="095B8D7E">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六、拟委任的主要人员</w:t>
      </w:r>
    </w:p>
    <w:p w14:paraId="184FC4E3">
      <w:pPr>
        <w:spacing w:line="440" w:lineRule="exact"/>
        <w:ind w:firstLine="1440" w:firstLineChars="600"/>
        <w:jc w:val="left"/>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七、信誉情况</w:t>
      </w:r>
    </w:p>
    <w:p w14:paraId="599E4536">
      <w:pPr>
        <w:spacing w:line="440" w:lineRule="exact"/>
        <w:ind w:firstLine="1440" w:firstLineChars="600"/>
        <w:outlineLvl w:val="1"/>
        <w:rPr>
          <w:rFonts w:ascii="Times New Roman" w:hAnsi="Times New Roman" w:eastAsia="黑体" w:cs="Times New Roman"/>
          <w:sz w:val="24"/>
          <w:highlight w:val="none"/>
        </w:rPr>
      </w:pPr>
      <w:r>
        <w:rPr>
          <w:rFonts w:hint="eastAsia" w:ascii="Times New Roman" w:hAnsi="Times New Roman" w:eastAsia="黑体" w:cs="Times New Roman"/>
          <w:sz w:val="24"/>
          <w:highlight w:val="none"/>
        </w:rPr>
        <w:t>八、其他材料</w:t>
      </w:r>
    </w:p>
    <w:p w14:paraId="15DB1D4A">
      <w:pPr>
        <w:spacing w:line="440" w:lineRule="exact"/>
        <w:rPr>
          <w:rFonts w:ascii="Times New Roman" w:hAnsi="Times New Roman" w:eastAsia="黑体"/>
          <w:sz w:val="24"/>
          <w:highlight w:val="none"/>
        </w:rPr>
      </w:pPr>
    </w:p>
    <w:p w14:paraId="76B1A39C">
      <w:pPr>
        <w:spacing w:line="440" w:lineRule="exact"/>
        <w:jc w:val="center"/>
        <w:rPr>
          <w:rFonts w:ascii="Times New Roman" w:hAnsi="Times New Roman" w:eastAsia="黑体"/>
          <w:sz w:val="28"/>
          <w:szCs w:val="28"/>
          <w:highlight w:val="none"/>
        </w:rPr>
      </w:pPr>
      <w:r>
        <w:rPr>
          <w:rFonts w:ascii="Times New Roman" w:hAnsi="Times New Roman" w:eastAsia="黑体"/>
          <w:sz w:val="20"/>
          <w:szCs w:val="20"/>
          <w:highlight w:val="none"/>
        </w:rPr>
        <w:br w:type="page"/>
      </w:r>
      <w:bookmarkStart w:id="177" w:name="_Toc30031_WPSOffice_Level1"/>
      <w:bookmarkStart w:id="178" w:name="_Toc2765_WPSOffice_Level1"/>
      <w:bookmarkStart w:id="179" w:name="_Toc1687_WPSOffice_Level1"/>
      <w:bookmarkStart w:id="180" w:name="_Toc18312_WPSOffice_Level1"/>
      <w:bookmarkStart w:id="181" w:name="_Toc24269_WPSOffice_Level1"/>
      <w:bookmarkStart w:id="182" w:name="_Toc11805_WPSOffice_Level1"/>
      <w:bookmarkStart w:id="183" w:name="_Toc29399_WPSOffice_Level1"/>
      <w:r>
        <w:rPr>
          <w:rFonts w:ascii="Times New Roman" w:hAnsi="Times New Roman" w:eastAsia="黑体"/>
          <w:sz w:val="28"/>
          <w:szCs w:val="28"/>
          <w:highlight w:val="none"/>
        </w:rPr>
        <w:t>一、报价函</w:t>
      </w:r>
      <w:bookmarkEnd w:id="177"/>
      <w:bookmarkEnd w:id="178"/>
      <w:bookmarkEnd w:id="179"/>
      <w:bookmarkEnd w:id="180"/>
      <w:bookmarkEnd w:id="181"/>
      <w:bookmarkEnd w:id="182"/>
      <w:bookmarkEnd w:id="183"/>
    </w:p>
    <w:p w14:paraId="45C5441E">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上海迈信房地产开发有限公司</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(采购人名称)：</w:t>
      </w:r>
    </w:p>
    <w:p w14:paraId="77BD2700">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1．我方已仔细研究了</w:t>
      </w:r>
      <w:r>
        <w:rPr>
          <w:rFonts w:hint="eastAsia" w:ascii="宋体" w:hAnsi="宋体" w:eastAsia="宋体" w:cs="宋体"/>
          <w:sz w:val="18"/>
          <w:szCs w:val="18"/>
          <w:highlight w:val="none"/>
          <w:u w:val="single"/>
        </w:rPr>
        <w:t xml:space="preserve"> 青浦区华新镇安联明悦邸（安联·虹悦）2025年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 xml:space="preserve">礼品采购 </w:t>
      </w:r>
      <w:r>
        <w:rPr>
          <w:rFonts w:hint="eastAsia" w:ascii="宋体" w:hAnsi="宋体" w:eastAsia="宋体" w:cs="宋体"/>
          <w:sz w:val="18"/>
          <w:szCs w:val="18"/>
          <w:highlight w:val="none"/>
        </w:rPr>
        <w:t>合同包询比文件的全部内容(含补遗书第</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rPr>
        <w:t>号至第</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rPr>
        <w:t>号)，愿意以人民币(大写)</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none"/>
          <w:lang w:val="en-US" w:eastAsia="zh-CN"/>
        </w:rPr>
        <w:t>元</w:t>
      </w:r>
      <w:r>
        <w:rPr>
          <w:rFonts w:hint="eastAsia" w:ascii="宋体" w:hAnsi="宋体" w:eastAsia="宋体" w:cs="宋体"/>
          <w:sz w:val="18"/>
          <w:szCs w:val="18"/>
          <w:highlight w:val="none"/>
        </w:rPr>
        <w:t>(小写：¥</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none"/>
          <w:lang w:val="en-US" w:eastAsia="zh-CN"/>
        </w:rPr>
        <w:t>元</w:t>
      </w:r>
      <w:r>
        <w:rPr>
          <w:rFonts w:hint="eastAsia" w:ascii="宋体" w:hAnsi="宋体" w:eastAsia="宋体" w:cs="宋体"/>
          <w:sz w:val="18"/>
          <w:szCs w:val="18"/>
          <w:highlight w:val="none"/>
        </w:rPr>
        <w:t>)的</w:t>
      </w:r>
      <w:r>
        <w:rPr>
          <w:rFonts w:hint="eastAsia" w:ascii="宋体" w:hAnsi="宋体" w:eastAsia="宋体" w:cs="宋体"/>
          <w:sz w:val="18"/>
          <w:szCs w:val="18"/>
          <w:highlight w:val="none"/>
          <w:lang w:val="en-US" w:eastAsia="zh-CN"/>
        </w:rPr>
        <w:t>含税</w:t>
      </w:r>
      <w:r>
        <w:rPr>
          <w:rFonts w:hint="eastAsia" w:ascii="宋体" w:hAnsi="宋体" w:eastAsia="宋体" w:cs="宋体"/>
          <w:sz w:val="18"/>
          <w:szCs w:val="18"/>
          <w:highlight w:val="none"/>
        </w:rPr>
        <w:t>总报价，</w:t>
      </w:r>
      <w:r>
        <w:rPr>
          <w:rFonts w:hint="eastAsia" w:ascii="宋体" w:hAnsi="宋体" w:eastAsia="宋体" w:cs="宋体"/>
          <w:sz w:val="18"/>
          <w:szCs w:val="18"/>
          <w:highlight w:val="none"/>
          <w:lang w:val="en-US" w:eastAsia="zh-CN"/>
        </w:rPr>
        <w:t>其中，增值税税率</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交货期</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，按合同约定实施和完成供货及提供相关服务，质量目标达到</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w:t>
      </w:r>
    </w:p>
    <w:p w14:paraId="54D60B56">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2．我方承诺在响应有效期内不修改、撤销响应文件。</w:t>
      </w:r>
    </w:p>
    <w:p w14:paraId="02951A51">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3．随同本报价函提交响应保证金一份，金额为人民币(大写)</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元(</w:t>
      </w:r>
      <w:r>
        <w:rPr>
          <w:rFonts w:hint="eastAsia" w:ascii="宋体" w:hAnsi="宋体" w:eastAsia="宋体" w:cs="宋体"/>
          <w:sz w:val="18"/>
          <w:szCs w:val="18"/>
          <w:highlight w:val="none"/>
          <w:lang w:val="en-US" w:eastAsia="zh-CN"/>
        </w:rPr>
        <w:t>小写：</w:t>
      </w:r>
      <w:r>
        <w:rPr>
          <w:rFonts w:hint="eastAsia" w:ascii="宋体" w:hAnsi="宋体" w:eastAsia="宋体" w:cs="宋体"/>
          <w:sz w:val="18"/>
          <w:szCs w:val="18"/>
          <w:highlight w:val="none"/>
        </w:rPr>
        <w:t>¥</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none"/>
          <w:lang w:val="en-US" w:eastAsia="zh-CN"/>
        </w:rPr>
        <w:t>元</w:t>
      </w:r>
      <w:r>
        <w:rPr>
          <w:rFonts w:hint="eastAsia" w:ascii="宋体" w:hAnsi="宋体" w:eastAsia="宋体" w:cs="宋体"/>
          <w:sz w:val="18"/>
          <w:szCs w:val="18"/>
          <w:highlight w:val="none"/>
        </w:rPr>
        <w:t xml:space="preserve"> )。</w:t>
      </w:r>
    </w:p>
    <w:p w14:paraId="6F196C87">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4．如我方成交：</w:t>
      </w:r>
    </w:p>
    <w:p w14:paraId="1BFD12AB">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(1)我方承诺在收到成交通知书后，在成交通知书规定的期限内与你方签订合同。</w:t>
      </w:r>
    </w:p>
    <w:p w14:paraId="6D8850B9">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(2)我方承诺按照询比文件规定向你方递交履约担保。</w:t>
      </w:r>
    </w:p>
    <w:p w14:paraId="34310937">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(3)我方承诺在合同约定的期限内完成全部合同任务。</w:t>
      </w:r>
    </w:p>
    <w:p w14:paraId="00CED8DF">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5．我方在此声明，所递交的响应文件及有关资料内容完整、真实和准确。</w:t>
      </w:r>
    </w:p>
    <w:p w14:paraId="645A6FB1">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6．在合同协议书正式签署生效之前，本报价函连同你方的成交通知书将构成我们双方之间共同遵守的文件，对双方具有约束力。</w:t>
      </w:r>
    </w:p>
    <w:p w14:paraId="68B3BBD5">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7．我方理解，你方不一定接受任何报价。同时也理解，你方不负担我方的任何报价费用。</w:t>
      </w:r>
    </w:p>
    <w:p w14:paraId="77956CF8">
      <w:pPr>
        <w:spacing w:line="4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8.</w:t>
      </w:r>
      <w:r>
        <w:rPr>
          <w:rFonts w:hint="eastAsia" w:ascii="宋体" w:hAnsi="宋体" w:eastAsia="宋体" w:cs="宋体"/>
          <w:sz w:val="18"/>
          <w:szCs w:val="18"/>
          <w:highlight w:val="none"/>
          <w:u w:val="single"/>
          <w:lang w:val="en-US" w:eastAsia="zh-CN"/>
        </w:rPr>
        <w:t xml:space="preserve">   /   </w:t>
      </w:r>
      <w:r>
        <w:rPr>
          <w:rFonts w:hint="eastAsia" w:ascii="宋体" w:hAnsi="宋体" w:eastAsia="宋体" w:cs="宋体"/>
          <w:sz w:val="18"/>
          <w:szCs w:val="18"/>
          <w:highlight w:val="none"/>
        </w:rPr>
        <w:t>。</w:t>
      </w:r>
    </w:p>
    <w:p w14:paraId="6BFFCAE3">
      <w:pPr>
        <w:spacing w:line="400" w:lineRule="exact"/>
        <w:ind w:firstLine="2565" w:firstLineChars="1425"/>
        <w:rPr>
          <w:rFonts w:hint="eastAsia" w:ascii="宋体" w:hAnsi="宋体" w:eastAsia="宋体" w:cs="宋体"/>
          <w:sz w:val="18"/>
          <w:szCs w:val="18"/>
          <w:highlight w:val="none"/>
        </w:rPr>
      </w:pPr>
    </w:p>
    <w:p w14:paraId="01586E67">
      <w:pPr>
        <w:spacing w:line="400" w:lineRule="exact"/>
        <w:ind w:firstLine="2565" w:firstLineChars="1425"/>
        <w:rPr>
          <w:rFonts w:hint="eastAsia" w:ascii="宋体" w:hAnsi="宋体" w:eastAsia="宋体" w:cs="宋体"/>
          <w:sz w:val="18"/>
          <w:szCs w:val="18"/>
          <w:highlight w:val="none"/>
        </w:rPr>
      </w:pPr>
    </w:p>
    <w:p w14:paraId="2FBF69BB">
      <w:pPr>
        <w:spacing w:line="400" w:lineRule="exact"/>
        <w:ind w:firstLine="2565" w:firstLineChars="1425"/>
        <w:rPr>
          <w:rFonts w:hint="eastAsia" w:ascii="宋体" w:hAnsi="宋体" w:eastAsia="宋体" w:cs="宋体"/>
          <w:sz w:val="18"/>
          <w:szCs w:val="18"/>
          <w:highlight w:val="none"/>
        </w:rPr>
      </w:pPr>
    </w:p>
    <w:p w14:paraId="0929A4F2">
      <w:pPr>
        <w:spacing w:line="400" w:lineRule="exact"/>
        <w:ind w:firstLine="2565" w:firstLineChars="1425"/>
        <w:rPr>
          <w:rFonts w:hint="eastAsia" w:ascii="宋体" w:hAnsi="宋体" w:eastAsia="宋体" w:cs="宋体"/>
          <w:sz w:val="18"/>
          <w:szCs w:val="18"/>
          <w:highlight w:val="none"/>
        </w:rPr>
      </w:pPr>
      <w:r>
        <w:rPr>
          <w:rFonts w:hint="eastAsia" w:ascii="宋体" w:hAnsi="宋体" w:eastAsia="宋体" w:cs="宋体"/>
          <w:sz w:val="18"/>
          <w:szCs w:val="18"/>
          <w:highlight w:val="none"/>
        </w:rPr>
        <w:t>供应商：</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(盖单位章)</w:t>
      </w:r>
    </w:p>
    <w:p w14:paraId="62063D7B">
      <w:pPr>
        <w:spacing w:line="400" w:lineRule="exact"/>
        <w:ind w:firstLine="2565" w:firstLineChars="1425"/>
        <w:rPr>
          <w:rFonts w:hint="eastAsia" w:ascii="宋体" w:hAnsi="宋体" w:eastAsia="宋体" w:cs="宋体"/>
          <w:sz w:val="18"/>
          <w:szCs w:val="18"/>
          <w:highlight w:val="none"/>
        </w:rPr>
      </w:pPr>
      <w:r>
        <w:rPr>
          <w:rFonts w:hint="eastAsia" w:ascii="宋体" w:hAnsi="宋体" w:eastAsia="宋体" w:cs="宋体"/>
          <w:sz w:val="18"/>
          <w:szCs w:val="18"/>
          <w:highlight w:val="none"/>
        </w:rPr>
        <w:t>法定代表人或委托代理人：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(签名)</w:t>
      </w:r>
    </w:p>
    <w:p w14:paraId="22246F6A">
      <w:pPr>
        <w:spacing w:line="400" w:lineRule="exact"/>
        <w:ind w:firstLine="2565" w:firstLineChars="1425"/>
        <w:rPr>
          <w:rFonts w:hint="eastAsia" w:ascii="宋体" w:hAnsi="宋体" w:eastAsia="宋体" w:cs="宋体"/>
          <w:sz w:val="18"/>
          <w:szCs w:val="18"/>
          <w:highlight w:val="none"/>
        </w:rPr>
      </w:pPr>
      <w:r>
        <w:rPr>
          <w:rFonts w:hint="eastAsia" w:ascii="宋体" w:hAnsi="宋体" w:eastAsia="宋体" w:cs="宋体"/>
          <w:sz w:val="18"/>
          <w:szCs w:val="18"/>
          <w:highlight w:val="none"/>
        </w:rPr>
        <w:t>地址：</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w:t>
      </w:r>
    </w:p>
    <w:p w14:paraId="58F3616D">
      <w:pPr>
        <w:spacing w:line="400" w:lineRule="exact"/>
        <w:ind w:firstLine="2565" w:firstLineChars="1425"/>
        <w:rPr>
          <w:rFonts w:hint="eastAsia" w:ascii="宋体" w:hAnsi="宋体" w:eastAsia="宋体" w:cs="宋体"/>
          <w:sz w:val="18"/>
          <w:szCs w:val="18"/>
          <w:highlight w:val="none"/>
        </w:rPr>
      </w:pPr>
      <w:r>
        <w:rPr>
          <w:rFonts w:hint="eastAsia" w:ascii="宋体" w:hAnsi="宋体" w:eastAsia="宋体" w:cs="宋体"/>
          <w:sz w:val="18"/>
          <w:szCs w:val="18"/>
          <w:highlight w:val="none"/>
        </w:rPr>
        <w:t>网址：</w:t>
      </w:r>
      <w:r>
        <w:rPr>
          <w:rFonts w:hint="eastAsia" w:ascii="宋体" w:hAnsi="宋体" w:eastAsia="宋体" w:cs="宋体"/>
          <w:sz w:val="18"/>
          <w:szCs w:val="18"/>
          <w:highlight w:val="none"/>
          <w:u w:val="single"/>
        </w:rPr>
        <w:t xml:space="preserve">                                     </w:t>
      </w:r>
    </w:p>
    <w:p w14:paraId="0F685CAF">
      <w:pPr>
        <w:spacing w:line="400" w:lineRule="exact"/>
        <w:ind w:firstLine="2565" w:firstLineChars="1425"/>
        <w:rPr>
          <w:rFonts w:hint="eastAsia" w:ascii="宋体" w:hAnsi="宋体" w:eastAsia="宋体" w:cs="宋体"/>
          <w:sz w:val="18"/>
          <w:szCs w:val="18"/>
          <w:highlight w:val="none"/>
        </w:rPr>
      </w:pPr>
      <w:r>
        <w:rPr>
          <w:rFonts w:hint="eastAsia" w:ascii="宋体" w:hAnsi="宋体" w:eastAsia="宋体" w:cs="宋体"/>
          <w:sz w:val="18"/>
          <w:szCs w:val="18"/>
          <w:highlight w:val="none"/>
        </w:rPr>
        <w:t>电话：</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w:t>
      </w:r>
    </w:p>
    <w:p w14:paraId="2AC52568">
      <w:pPr>
        <w:spacing w:line="400" w:lineRule="exact"/>
        <w:ind w:firstLine="2565" w:firstLineChars="1425"/>
        <w:rPr>
          <w:rFonts w:hint="eastAsia" w:ascii="宋体" w:hAnsi="宋体" w:eastAsia="宋体" w:cs="宋体"/>
          <w:sz w:val="18"/>
          <w:szCs w:val="18"/>
          <w:highlight w:val="none"/>
        </w:rPr>
      </w:pPr>
      <w:r>
        <w:rPr>
          <w:rFonts w:hint="eastAsia" w:ascii="宋体" w:hAnsi="宋体" w:eastAsia="宋体" w:cs="宋体"/>
          <w:sz w:val="18"/>
          <w:szCs w:val="18"/>
          <w:highlight w:val="none"/>
        </w:rPr>
        <w:t>电子邮箱：</w:t>
      </w:r>
      <w:r>
        <w:rPr>
          <w:rFonts w:hint="eastAsia" w:ascii="宋体" w:hAnsi="宋体" w:eastAsia="宋体" w:cs="宋体"/>
          <w:sz w:val="18"/>
          <w:szCs w:val="18"/>
          <w:highlight w:val="none"/>
          <w:u w:val="single"/>
        </w:rPr>
        <w:t xml:space="preserve">                                  </w:t>
      </w:r>
    </w:p>
    <w:p w14:paraId="72BA3740">
      <w:pPr>
        <w:spacing w:line="400" w:lineRule="exact"/>
        <w:ind w:firstLine="3555" w:firstLineChars="1975"/>
        <w:rPr>
          <w:rFonts w:hint="eastAsia" w:ascii="宋体" w:hAnsi="宋体" w:eastAsia="宋体" w:cs="宋体"/>
          <w:sz w:val="18"/>
          <w:szCs w:val="18"/>
          <w:highlight w:val="none"/>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w:t>
      </w:r>
    </w:p>
    <w:p w14:paraId="5B07E458">
      <w:pPr>
        <w:rPr>
          <w:rFonts w:ascii="Times New Roman" w:hAnsi="Times New Roman"/>
          <w:sz w:val="24"/>
          <w:highlight w:val="none"/>
        </w:rPr>
      </w:pPr>
      <w:r>
        <w:rPr>
          <w:rFonts w:ascii="Times New Roman" w:hAnsi="Times New Roman"/>
          <w:sz w:val="24"/>
          <w:highlight w:val="none"/>
        </w:rPr>
        <w:br w:type="page"/>
      </w:r>
    </w:p>
    <w:p w14:paraId="463E7E3B">
      <w:pPr>
        <w:spacing w:line="440" w:lineRule="exact"/>
        <w:jc w:val="center"/>
        <w:rPr>
          <w:rFonts w:ascii="Times New Roman" w:hAnsi="Times New Roman" w:eastAsia="黑体"/>
          <w:sz w:val="28"/>
          <w:szCs w:val="28"/>
          <w:highlight w:val="none"/>
        </w:rPr>
      </w:pPr>
      <w:bookmarkStart w:id="184" w:name="_Toc14563_WPSOffice_Level1"/>
      <w:bookmarkStart w:id="185" w:name="_Toc12530_WPSOffice_Level1"/>
      <w:bookmarkStart w:id="186" w:name="_Toc13190_WPSOffice_Level1"/>
      <w:bookmarkStart w:id="187" w:name="_Toc31127_WPSOffice_Level1"/>
      <w:bookmarkStart w:id="188" w:name="_Toc32350_WPSOffice_Level1"/>
      <w:bookmarkStart w:id="189" w:name="_Toc18668_WPSOffice_Level1"/>
      <w:bookmarkStart w:id="190" w:name="_Toc8695_WPSOffice_Level1"/>
      <w:r>
        <w:rPr>
          <w:rFonts w:ascii="Times New Roman" w:hAnsi="Times New Roman" w:eastAsia="黑体"/>
          <w:sz w:val="28"/>
          <w:szCs w:val="28"/>
          <w:highlight w:val="none"/>
        </w:rPr>
        <w:t>二、法定代表人身份证明及授权委托书</w:t>
      </w:r>
      <w:bookmarkEnd w:id="184"/>
      <w:bookmarkEnd w:id="185"/>
      <w:bookmarkEnd w:id="186"/>
      <w:bookmarkEnd w:id="187"/>
      <w:bookmarkEnd w:id="188"/>
      <w:bookmarkEnd w:id="189"/>
      <w:bookmarkEnd w:id="190"/>
    </w:p>
    <w:p w14:paraId="0ED107A3">
      <w:pPr>
        <w:spacing w:line="440" w:lineRule="exact"/>
        <w:rPr>
          <w:rFonts w:ascii="Times New Roman" w:hAnsi="Times New Roman"/>
          <w:sz w:val="20"/>
          <w:szCs w:val="20"/>
          <w:highlight w:val="none"/>
        </w:rPr>
      </w:pPr>
    </w:p>
    <w:p w14:paraId="465A6E05">
      <w:pPr>
        <w:spacing w:line="440" w:lineRule="exact"/>
        <w:jc w:val="center"/>
        <w:rPr>
          <w:rFonts w:ascii="Times New Roman" w:hAnsi="Times New Roman"/>
          <w:sz w:val="28"/>
          <w:szCs w:val="28"/>
          <w:highlight w:val="none"/>
        </w:rPr>
      </w:pPr>
      <w:bookmarkStart w:id="191" w:name="_Toc20803_WPSOffice_Level2"/>
      <w:bookmarkStart w:id="192" w:name="_Toc5153_WPSOffice_Level2"/>
      <w:r>
        <w:rPr>
          <w:rFonts w:ascii="Times New Roman" w:hAnsi="Times New Roman" w:eastAsia="黑体"/>
          <w:bCs/>
          <w:sz w:val="28"/>
          <w:szCs w:val="28"/>
          <w:highlight w:val="none"/>
        </w:rPr>
        <w:t>2-1 法定代表人身份证明</w:t>
      </w:r>
      <w:bookmarkEnd w:id="191"/>
      <w:bookmarkEnd w:id="192"/>
    </w:p>
    <w:p w14:paraId="47E65410">
      <w:pPr>
        <w:spacing w:line="440" w:lineRule="exact"/>
        <w:rPr>
          <w:rFonts w:ascii="Times New Roman" w:hAnsi="Times New Roman"/>
          <w:sz w:val="20"/>
          <w:szCs w:val="20"/>
          <w:highlight w:val="none"/>
        </w:rPr>
      </w:pPr>
    </w:p>
    <w:p w14:paraId="736D4E2C">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供应商名称：</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w:t>
      </w:r>
    </w:p>
    <w:p w14:paraId="292AC9FC">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单位性质：</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w:t>
      </w:r>
    </w:p>
    <w:p w14:paraId="4CEB7F23">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地址：</w:t>
      </w:r>
      <w:r>
        <w:rPr>
          <w:rFonts w:hint="eastAsia" w:ascii="宋体" w:hAnsi="宋体" w:eastAsia="宋体" w:cs="宋体"/>
          <w:sz w:val="18"/>
          <w:szCs w:val="18"/>
          <w:highlight w:val="none"/>
          <w:u w:val="single"/>
        </w:rPr>
        <w:t xml:space="preserve">                                   </w:t>
      </w:r>
    </w:p>
    <w:p w14:paraId="5D357C24">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成立时间：</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年</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月</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日</w:t>
      </w:r>
    </w:p>
    <w:p w14:paraId="04266E68">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经营期限：</w:t>
      </w:r>
      <w:r>
        <w:rPr>
          <w:rFonts w:hint="eastAsia" w:ascii="宋体" w:hAnsi="宋体" w:eastAsia="宋体" w:cs="宋体"/>
          <w:sz w:val="18"/>
          <w:szCs w:val="18"/>
          <w:highlight w:val="none"/>
          <w:u w:val="single"/>
        </w:rPr>
        <w:t xml:space="preserve">                               </w:t>
      </w:r>
    </w:p>
    <w:p w14:paraId="3A6CBD6F">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姓名：</w:t>
      </w:r>
      <w:r>
        <w:rPr>
          <w:rFonts w:hint="eastAsia" w:ascii="宋体" w:hAnsi="宋体" w:eastAsia="宋体" w:cs="宋体"/>
          <w:sz w:val="18"/>
          <w:szCs w:val="18"/>
          <w:highlight w:val="none"/>
          <w:u w:val="single"/>
        </w:rPr>
        <w:t xml:space="preserve">  </w:t>
      </w:r>
      <w:r>
        <w:rPr>
          <w:rFonts w:hint="eastAsia" w:ascii="宋体" w:hAnsi="宋体" w:eastAsia="宋体" w:cs="宋体"/>
          <w:bCs/>
          <w:sz w:val="18"/>
          <w:szCs w:val="18"/>
          <w:highlight w:val="none"/>
          <w:u w:val="single"/>
        </w:rPr>
        <w:t xml:space="preserve">                </w:t>
      </w:r>
      <w:r>
        <w:rPr>
          <w:rFonts w:hint="eastAsia" w:ascii="宋体" w:hAnsi="宋体" w:eastAsia="宋体" w:cs="宋体"/>
          <w:sz w:val="18"/>
          <w:szCs w:val="18"/>
          <w:highlight w:val="none"/>
        </w:rPr>
        <w:t xml:space="preserve"> 性别：</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年龄：</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职务：</w:t>
      </w:r>
      <w:r>
        <w:rPr>
          <w:rFonts w:hint="eastAsia" w:ascii="宋体" w:hAnsi="宋体" w:eastAsia="宋体" w:cs="宋体"/>
          <w:sz w:val="18"/>
          <w:szCs w:val="18"/>
          <w:highlight w:val="none"/>
          <w:u w:val="single"/>
        </w:rPr>
        <w:t xml:space="preserve">        </w:t>
      </w:r>
    </w:p>
    <w:p w14:paraId="257103BC">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系</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(供应商名称)的法定代表人。</w:t>
      </w:r>
    </w:p>
    <w:p w14:paraId="6E98D37C">
      <w:pPr>
        <w:spacing w:line="44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附：法定代表人身份证正反面复印件</w:t>
      </w:r>
    </w:p>
    <w:p w14:paraId="51DB7D97">
      <w:pPr>
        <w:spacing w:line="440" w:lineRule="exact"/>
        <w:ind w:firstLine="360" w:firstLineChars="200"/>
        <w:rPr>
          <w:rFonts w:hint="eastAsia" w:ascii="宋体" w:hAnsi="宋体" w:eastAsia="宋体" w:cs="宋体"/>
          <w:sz w:val="18"/>
          <w:szCs w:val="18"/>
          <w:highlight w:val="none"/>
        </w:rPr>
      </w:pPr>
    </w:p>
    <w:p w14:paraId="7994C656">
      <w:pPr>
        <w:spacing w:line="44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特此证明。</w:t>
      </w:r>
    </w:p>
    <w:p w14:paraId="31048942">
      <w:pPr>
        <w:spacing w:line="440" w:lineRule="exact"/>
        <w:rPr>
          <w:rFonts w:hint="eastAsia" w:ascii="宋体" w:hAnsi="宋体" w:eastAsia="宋体" w:cs="宋体"/>
          <w:sz w:val="18"/>
          <w:szCs w:val="18"/>
          <w:highlight w:val="none"/>
        </w:rPr>
      </w:pPr>
    </w:p>
    <w:p w14:paraId="7BD39B88">
      <w:pPr>
        <w:spacing w:line="440" w:lineRule="exact"/>
        <w:rPr>
          <w:rFonts w:hint="eastAsia" w:ascii="宋体" w:hAnsi="宋体" w:eastAsia="宋体" w:cs="宋体"/>
          <w:sz w:val="18"/>
          <w:szCs w:val="18"/>
          <w:highlight w:val="none"/>
        </w:rPr>
      </w:pPr>
    </w:p>
    <w:p w14:paraId="6022176E">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供应商：</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(盖单位章)</w:t>
      </w:r>
    </w:p>
    <w:p w14:paraId="56FCD87C">
      <w:pPr>
        <w:spacing w:line="440" w:lineRule="exact"/>
        <w:rPr>
          <w:rFonts w:ascii="Times New Roman" w:hAnsi="Times New Roman"/>
          <w:sz w:val="24"/>
          <w:highlight w:val="none"/>
        </w:rPr>
      </w:pP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 日          </w:t>
      </w:r>
      <w:r>
        <w:rPr>
          <w:rFonts w:ascii="Times New Roman" w:hAnsi="Times New Roman"/>
          <w:sz w:val="24"/>
          <w:highlight w:val="none"/>
        </w:rPr>
        <w:t xml:space="preserve"> </w:t>
      </w:r>
    </w:p>
    <w:p w14:paraId="63D39DB5">
      <w:pPr>
        <w:topLinePunct/>
        <w:spacing w:line="440" w:lineRule="exact"/>
        <w:rPr>
          <w:rFonts w:ascii="Times New Roman" w:hAnsi="Times New Roman" w:eastAsia="黑体"/>
          <w:sz w:val="24"/>
          <w:highlight w:val="none"/>
        </w:rPr>
      </w:pPr>
    </w:p>
    <w:p w14:paraId="72E66F1F">
      <w:pPr>
        <w:topLinePunct/>
        <w:spacing w:line="440" w:lineRule="exact"/>
        <w:rPr>
          <w:rFonts w:ascii="Times New Roman" w:hAnsi="Times New Roman" w:eastAsia="黑体"/>
          <w:sz w:val="24"/>
          <w:highlight w:val="none"/>
        </w:rPr>
      </w:pPr>
    </w:p>
    <w:p w14:paraId="67AE8D47">
      <w:pPr>
        <w:topLinePunct/>
        <w:spacing w:line="440" w:lineRule="exact"/>
        <w:rPr>
          <w:rFonts w:ascii="Times New Roman" w:hAnsi="Times New Roman" w:eastAsia="黑体"/>
          <w:sz w:val="24"/>
          <w:highlight w:val="none"/>
        </w:rPr>
      </w:pPr>
    </w:p>
    <w:p w14:paraId="55CFCB46">
      <w:pPr>
        <w:topLinePunct/>
        <w:spacing w:line="440" w:lineRule="exact"/>
        <w:rPr>
          <w:rFonts w:ascii="Times New Roman" w:hAnsi="Times New Roman" w:eastAsia="黑体"/>
          <w:sz w:val="24"/>
          <w:highlight w:val="none"/>
        </w:rPr>
      </w:pPr>
    </w:p>
    <w:p w14:paraId="5835C0DB">
      <w:pPr>
        <w:topLinePunct/>
        <w:spacing w:line="440" w:lineRule="exact"/>
        <w:rPr>
          <w:rFonts w:ascii="Times New Roman" w:hAnsi="Times New Roman" w:eastAsia="黑体"/>
          <w:sz w:val="24"/>
          <w:highlight w:val="none"/>
        </w:rPr>
      </w:pPr>
    </w:p>
    <w:p w14:paraId="6D4B1E24">
      <w:pPr>
        <w:topLinePunct/>
        <w:spacing w:line="440" w:lineRule="exact"/>
        <w:ind w:left="315" w:hanging="315" w:hangingChars="150"/>
        <w:rPr>
          <w:rFonts w:ascii="Times New Roman" w:hAnsi="Times New Roman" w:eastAsia="黑体"/>
          <w:szCs w:val="21"/>
          <w:highlight w:val="none"/>
        </w:rPr>
      </w:pPr>
    </w:p>
    <w:p w14:paraId="1A29CBB3">
      <w:pPr>
        <w:topLinePunct/>
        <w:spacing w:line="440" w:lineRule="exact"/>
        <w:ind w:left="315" w:hanging="315" w:hangingChars="150"/>
        <w:rPr>
          <w:rFonts w:ascii="Times New Roman" w:hAnsi="Times New Roman" w:eastAsia="黑体"/>
          <w:bCs/>
          <w:szCs w:val="21"/>
          <w:highlight w:val="none"/>
        </w:rPr>
      </w:pPr>
    </w:p>
    <w:p w14:paraId="616DA64C">
      <w:pPr>
        <w:spacing w:line="440" w:lineRule="exact"/>
        <w:jc w:val="center"/>
        <w:rPr>
          <w:rFonts w:ascii="Times New Roman" w:hAnsi="Times New Roman" w:eastAsia="黑体"/>
          <w:sz w:val="28"/>
          <w:szCs w:val="28"/>
          <w:highlight w:val="none"/>
        </w:rPr>
      </w:pPr>
      <w:r>
        <w:rPr>
          <w:rFonts w:ascii="Times New Roman" w:hAnsi="Times New Roman" w:eastAsia="黑体"/>
          <w:sz w:val="24"/>
          <w:highlight w:val="none"/>
        </w:rPr>
        <w:br w:type="page"/>
      </w:r>
      <w:bookmarkStart w:id="193" w:name="_Toc19768_WPSOffice_Level2"/>
      <w:bookmarkStart w:id="194" w:name="_Toc12035_WPSOffice_Level2"/>
      <w:r>
        <w:rPr>
          <w:rFonts w:ascii="Times New Roman" w:hAnsi="Times New Roman" w:eastAsia="黑体"/>
          <w:bCs/>
          <w:sz w:val="28"/>
          <w:szCs w:val="28"/>
          <w:highlight w:val="none"/>
        </w:rPr>
        <w:t xml:space="preserve">2-2 </w:t>
      </w:r>
      <w:r>
        <w:rPr>
          <w:rFonts w:ascii="Times New Roman" w:hAnsi="Times New Roman" w:eastAsia="黑体"/>
          <w:sz w:val="28"/>
          <w:szCs w:val="28"/>
          <w:highlight w:val="none"/>
        </w:rPr>
        <w:t>授权委托书</w:t>
      </w:r>
      <w:bookmarkEnd w:id="193"/>
      <w:bookmarkEnd w:id="194"/>
    </w:p>
    <w:p w14:paraId="1BC4A197">
      <w:pPr>
        <w:spacing w:line="440" w:lineRule="exact"/>
        <w:rPr>
          <w:rFonts w:ascii="Times New Roman" w:hAnsi="Times New Roman" w:eastAsia="黑体"/>
          <w:sz w:val="24"/>
          <w:highlight w:val="none"/>
        </w:rPr>
      </w:pPr>
    </w:p>
    <w:p w14:paraId="1DFE67CD">
      <w:pPr>
        <w:topLinePunct/>
        <w:spacing w:line="44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本人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(姓名)系</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(供应商名称)的法定代表人，现委托</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(姓名)为我方代理人。代理人根据授权，以我方名义签署、澄清、说明、补正、递交、撤回、修改</w:t>
      </w:r>
      <w:r>
        <w:rPr>
          <w:rFonts w:hint="eastAsia" w:ascii="宋体" w:hAnsi="宋体" w:eastAsia="宋体" w:cs="宋体"/>
          <w:sz w:val="18"/>
          <w:szCs w:val="18"/>
          <w:highlight w:val="none"/>
          <w:u w:val="single"/>
        </w:rPr>
        <w:t xml:space="preserve"> 青浦区华新镇安联明悦邸（安联·虹悦）2025年</w:t>
      </w:r>
      <w:r>
        <w:rPr>
          <w:rFonts w:hint="eastAsia" w:ascii="宋体" w:hAnsi="宋体" w:cs="宋体"/>
          <w:sz w:val="18"/>
          <w:szCs w:val="18"/>
          <w:highlight w:val="none"/>
          <w:u w:val="single"/>
          <w:lang w:eastAsia="zh-CN"/>
        </w:rPr>
        <w:t>拓客</w:t>
      </w:r>
      <w:r>
        <w:rPr>
          <w:rFonts w:hint="eastAsia" w:ascii="宋体" w:hAnsi="宋体" w:eastAsia="宋体" w:cs="宋体"/>
          <w:sz w:val="18"/>
          <w:szCs w:val="18"/>
          <w:highlight w:val="none"/>
          <w:u w:val="single"/>
        </w:rPr>
        <w:t xml:space="preserve">礼品采购 </w:t>
      </w:r>
      <w:r>
        <w:rPr>
          <w:rFonts w:hint="eastAsia" w:ascii="宋体" w:hAnsi="宋体" w:eastAsia="宋体" w:cs="宋体"/>
          <w:sz w:val="18"/>
          <w:szCs w:val="18"/>
          <w:highlight w:val="none"/>
        </w:rPr>
        <w:t>合同包响应文件、签订合同和处理有关事宜，其法律后果由我方承担。</w:t>
      </w:r>
    </w:p>
    <w:p w14:paraId="6777AB37">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委托期限：</w:t>
      </w:r>
      <w:r>
        <w:rPr>
          <w:rFonts w:hint="eastAsia" w:ascii="宋体" w:hAnsi="宋体" w:eastAsia="宋体" w:cs="宋体"/>
          <w:sz w:val="18"/>
          <w:szCs w:val="18"/>
          <w:highlight w:val="none"/>
          <w:u w:val="single"/>
        </w:rPr>
        <w:t>自授权委托之日起至签订合同之日止</w:t>
      </w:r>
      <w:r>
        <w:rPr>
          <w:rFonts w:hint="eastAsia" w:ascii="宋体" w:hAnsi="宋体" w:eastAsia="宋体" w:cs="宋体"/>
          <w:sz w:val="18"/>
          <w:szCs w:val="18"/>
          <w:highlight w:val="none"/>
        </w:rPr>
        <w:t>。</w:t>
      </w:r>
    </w:p>
    <w:p w14:paraId="6FBEB657">
      <w:pPr>
        <w:spacing w:line="44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代理人无转委托权。</w:t>
      </w:r>
    </w:p>
    <w:p w14:paraId="25D55004">
      <w:pPr>
        <w:spacing w:line="44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附：法定代表人身份证明、委托代理人的身份证正反面复印件</w:t>
      </w:r>
    </w:p>
    <w:p w14:paraId="4E14E7A7">
      <w:pPr>
        <w:spacing w:line="440" w:lineRule="exact"/>
        <w:ind w:firstLine="360" w:firstLineChars="200"/>
        <w:rPr>
          <w:rFonts w:hint="eastAsia" w:ascii="宋体" w:hAnsi="宋体" w:eastAsia="宋体" w:cs="宋体"/>
          <w:sz w:val="18"/>
          <w:szCs w:val="18"/>
          <w:highlight w:val="none"/>
        </w:rPr>
      </w:pPr>
    </w:p>
    <w:p w14:paraId="197D631D">
      <w:pPr>
        <w:spacing w:line="440" w:lineRule="exact"/>
        <w:rPr>
          <w:rFonts w:hint="eastAsia" w:ascii="宋体" w:hAnsi="宋体" w:eastAsia="宋体" w:cs="宋体"/>
          <w:sz w:val="18"/>
          <w:szCs w:val="18"/>
          <w:highlight w:val="none"/>
        </w:rPr>
      </w:pPr>
    </w:p>
    <w:p w14:paraId="2576756D">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供应商：</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(盖单位章)</w:t>
      </w:r>
    </w:p>
    <w:p w14:paraId="65C7B005">
      <w:pPr>
        <w:spacing w:line="440" w:lineRule="exact"/>
        <w:rPr>
          <w:rFonts w:hint="eastAsia" w:ascii="宋体" w:hAnsi="宋体" w:eastAsia="宋体" w:cs="宋体"/>
          <w:sz w:val="18"/>
          <w:szCs w:val="18"/>
          <w:highlight w:val="none"/>
        </w:rPr>
      </w:pPr>
    </w:p>
    <w:p w14:paraId="052E48B3">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法定代表人：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(签名)</w:t>
      </w:r>
    </w:p>
    <w:p w14:paraId="497D07A4">
      <w:pPr>
        <w:spacing w:line="440" w:lineRule="exact"/>
        <w:rPr>
          <w:rFonts w:hint="eastAsia" w:ascii="宋体" w:hAnsi="宋体" w:eastAsia="宋体" w:cs="宋体"/>
          <w:sz w:val="18"/>
          <w:szCs w:val="18"/>
          <w:highlight w:val="none"/>
        </w:rPr>
      </w:pPr>
    </w:p>
    <w:p w14:paraId="78FE42DF">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身份证号码：</w:t>
      </w:r>
      <w:r>
        <w:rPr>
          <w:rFonts w:hint="eastAsia" w:ascii="宋体" w:hAnsi="宋体" w:eastAsia="宋体" w:cs="宋体"/>
          <w:sz w:val="18"/>
          <w:szCs w:val="18"/>
          <w:highlight w:val="none"/>
          <w:u w:val="single"/>
        </w:rPr>
        <w:t xml:space="preserve">                                    </w:t>
      </w:r>
    </w:p>
    <w:p w14:paraId="2138D04C">
      <w:pPr>
        <w:spacing w:line="440" w:lineRule="exact"/>
        <w:rPr>
          <w:rFonts w:hint="eastAsia" w:ascii="宋体" w:hAnsi="宋体" w:eastAsia="宋体" w:cs="宋体"/>
          <w:sz w:val="18"/>
          <w:szCs w:val="18"/>
          <w:highlight w:val="none"/>
        </w:rPr>
      </w:pPr>
    </w:p>
    <w:p w14:paraId="4CE4E60B">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委托代理人：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(签名)</w:t>
      </w:r>
    </w:p>
    <w:p w14:paraId="2042F219">
      <w:pPr>
        <w:spacing w:line="440" w:lineRule="exact"/>
        <w:rPr>
          <w:rFonts w:hint="eastAsia" w:ascii="宋体" w:hAnsi="宋体" w:eastAsia="宋体" w:cs="宋体"/>
          <w:sz w:val="18"/>
          <w:szCs w:val="18"/>
          <w:highlight w:val="none"/>
        </w:rPr>
      </w:pPr>
    </w:p>
    <w:p w14:paraId="2DEBE33E">
      <w:pPr>
        <w:spacing w:line="4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身份证号码：</w:t>
      </w:r>
      <w:r>
        <w:rPr>
          <w:rFonts w:hint="eastAsia" w:ascii="宋体" w:hAnsi="宋体" w:eastAsia="宋体" w:cs="宋体"/>
          <w:sz w:val="18"/>
          <w:szCs w:val="18"/>
          <w:highlight w:val="none"/>
          <w:u w:val="single"/>
        </w:rPr>
        <w:t xml:space="preserve">                                    </w:t>
      </w:r>
    </w:p>
    <w:p w14:paraId="64E4FA3C">
      <w:pPr>
        <w:spacing w:line="440" w:lineRule="exact"/>
        <w:rPr>
          <w:rFonts w:hint="eastAsia" w:ascii="宋体" w:hAnsi="宋体" w:eastAsia="宋体" w:cs="宋体"/>
          <w:sz w:val="18"/>
          <w:szCs w:val="18"/>
          <w:highlight w:val="none"/>
        </w:rPr>
      </w:pPr>
    </w:p>
    <w:p w14:paraId="39990FCD">
      <w:pPr>
        <w:spacing w:line="440" w:lineRule="exact"/>
        <w:rPr>
          <w:rFonts w:hint="eastAsia" w:ascii="宋体" w:hAnsi="宋体" w:eastAsia="宋体" w:cs="宋体"/>
          <w:sz w:val="18"/>
          <w:szCs w:val="18"/>
          <w:highlight w:val="none"/>
        </w:rPr>
      </w:pPr>
    </w:p>
    <w:p w14:paraId="0AF44B8C">
      <w:pPr>
        <w:spacing w:line="440" w:lineRule="exact"/>
        <w:ind w:firstLine="1350" w:firstLineChars="750"/>
        <w:rPr>
          <w:rFonts w:hint="eastAsia" w:ascii="宋体" w:hAnsi="宋体" w:eastAsia="宋体" w:cs="宋体"/>
          <w:sz w:val="18"/>
          <w:szCs w:val="18"/>
          <w:highlight w:val="none"/>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 xml:space="preserve">年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日</w:t>
      </w:r>
    </w:p>
    <w:p w14:paraId="5DF7B55E">
      <w:pPr>
        <w:spacing w:line="440" w:lineRule="exact"/>
        <w:rPr>
          <w:rFonts w:ascii="Times New Roman" w:hAnsi="Times New Roman" w:eastAsia="黑体"/>
          <w:sz w:val="24"/>
          <w:highlight w:val="none"/>
        </w:rPr>
      </w:pPr>
      <w:r>
        <w:rPr>
          <w:rFonts w:ascii="Times New Roman" w:hAnsi="Times New Roman" w:eastAsia="黑体"/>
          <w:sz w:val="24"/>
          <w:highlight w:val="none"/>
        </w:rPr>
        <w:t xml:space="preserve"> </w:t>
      </w:r>
    </w:p>
    <w:p w14:paraId="179FA4D7">
      <w:pPr>
        <w:spacing w:line="360" w:lineRule="exact"/>
        <w:ind w:left="360" w:hanging="360" w:hangingChars="200"/>
        <w:rPr>
          <w:rFonts w:ascii="Times New Roman" w:hAnsi="Times New Roman" w:eastAsia="黑体"/>
          <w:sz w:val="18"/>
          <w:szCs w:val="18"/>
          <w:highlight w:val="none"/>
        </w:rPr>
      </w:pPr>
    </w:p>
    <w:p w14:paraId="2AF67581">
      <w:pPr>
        <w:spacing w:line="440" w:lineRule="exact"/>
        <w:jc w:val="center"/>
        <w:rPr>
          <w:rFonts w:ascii="Times New Roman" w:hAnsi="Times New Roman" w:eastAsia="黑体"/>
          <w:sz w:val="24"/>
          <w:highlight w:val="none"/>
        </w:rPr>
      </w:pPr>
      <w:r>
        <w:rPr>
          <w:rFonts w:ascii="Times New Roman" w:hAnsi="Times New Roman" w:eastAsia="黑体"/>
          <w:sz w:val="24"/>
          <w:highlight w:val="none"/>
        </w:rPr>
        <w:br w:type="page"/>
      </w:r>
    </w:p>
    <w:p w14:paraId="2DE273B2">
      <w:pPr>
        <w:spacing w:line="440" w:lineRule="exact"/>
        <w:jc w:val="center"/>
        <w:rPr>
          <w:rFonts w:ascii="Times New Roman" w:hAnsi="Times New Roman" w:eastAsia="黑体"/>
          <w:sz w:val="28"/>
          <w:szCs w:val="28"/>
          <w:highlight w:val="none"/>
        </w:rPr>
      </w:pPr>
      <w:bookmarkStart w:id="195" w:name="_Toc32085_WPSOffice_Level1"/>
      <w:bookmarkStart w:id="196" w:name="_Toc24567_WPSOffice_Level1"/>
      <w:bookmarkStart w:id="197" w:name="_Toc15186_WPSOffice_Level1"/>
      <w:bookmarkStart w:id="198" w:name="_Toc24530_WPSOffice_Level1"/>
      <w:bookmarkStart w:id="199" w:name="_Toc17677_WPSOffice_Level1"/>
      <w:bookmarkStart w:id="200" w:name="_Toc28627_WPSOffice_Level1"/>
      <w:bookmarkStart w:id="201" w:name="_Toc12942_WPSOffice_Level1"/>
      <w:r>
        <w:rPr>
          <w:rFonts w:hint="eastAsia" w:ascii="Times New Roman" w:hAnsi="Times New Roman" w:eastAsia="黑体"/>
          <w:sz w:val="28"/>
          <w:szCs w:val="28"/>
          <w:highlight w:val="none"/>
        </w:rPr>
        <w:t>三</w:t>
      </w:r>
      <w:r>
        <w:rPr>
          <w:rFonts w:ascii="Times New Roman" w:hAnsi="Times New Roman" w:eastAsia="黑体"/>
          <w:sz w:val="28"/>
          <w:szCs w:val="28"/>
          <w:highlight w:val="none"/>
        </w:rPr>
        <w:t>、已标价</w:t>
      </w:r>
      <w:r>
        <w:rPr>
          <w:rFonts w:hint="eastAsia" w:ascii="Times New Roman" w:hAnsi="Times New Roman" w:eastAsia="黑体"/>
          <w:sz w:val="28"/>
          <w:szCs w:val="28"/>
          <w:highlight w:val="none"/>
        </w:rPr>
        <w:t>的</w:t>
      </w:r>
      <w:bookmarkEnd w:id="195"/>
      <w:bookmarkEnd w:id="196"/>
      <w:bookmarkEnd w:id="197"/>
      <w:bookmarkEnd w:id="198"/>
      <w:r>
        <w:rPr>
          <w:rFonts w:hint="eastAsia" w:ascii="Times New Roman" w:hAnsi="Times New Roman" w:eastAsia="黑体"/>
          <w:sz w:val="28"/>
          <w:szCs w:val="28"/>
          <w:highlight w:val="none"/>
        </w:rPr>
        <w:t>报价清单</w:t>
      </w:r>
      <w:bookmarkEnd w:id="199"/>
      <w:bookmarkEnd w:id="200"/>
      <w:bookmarkEnd w:id="201"/>
    </w:p>
    <w:p w14:paraId="60981731">
      <w:pPr>
        <w:spacing w:line="440" w:lineRule="exact"/>
        <w:rPr>
          <w:rFonts w:hint="eastAsia" w:ascii="仿宋_GB2312" w:hAnsi="仿宋_GB2312" w:eastAsia="黑体" w:cstheme="minorBidi"/>
          <w:sz w:val="24"/>
          <w:highlight w:val="none"/>
          <w:lang w:val="en-US" w:eastAsia="zh-CN"/>
        </w:rPr>
      </w:pPr>
      <w:r>
        <w:rPr>
          <w:rFonts w:hint="eastAsia" w:ascii="仿宋_GB2312" w:hAnsi="仿宋_GB2312" w:eastAsia="黑体" w:cstheme="minorBidi"/>
          <w:sz w:val="24"/>
          <w:highlight w:val="none"/>
        </w:rPr>
        <w:t>青浦区华新镇安联明悦邸（安联·虹悦）2025年</w:t>
      </w:r>
      <w:r>
        <w:rPr>
          <w:rFonts w:hint="eastAsia" w:ascii="仿宋_GB2312" w:hAnsi="仿宋_GB2312" w:eastAsia="黑体" w:cstheme="minorBidi"/>
          <w:sz w:val="24"/>
          <w:highlight w:val="none"/>
          <w:lang w:eastAsia="zh-CN"/>
        </w:rPr>
        <w:t>拓客</w:t>
      </w:r>
      <w:r>
        <w:rPr>
          <w:rFonts w:hint="eastAsia" w:ascii="仿宋_GB2312" w:hAnsi="仿宋_GB2312" w:eastAsia="黑体" w:cstheme="minorBidi"/>
          <w:sz w:val="24"/>
          <w:highlight w:val="none"/>
        </w:rPr>
        <w:t>礼品采购</w:t>
      </w:r>
      <w:r>
        <w:rPr>
          <w:rFonts w:hint="eastAsia" w:ascii="仿宋_GB2312" w:hAnsi="仿宋_GB2312" w:eastAsia="黑体" w:cstheme="minorBidi"/>
          <w:sz w:val="24"/>
          <w:highlight w:val="none"/>
          <w:lang w:val="en-US" w:eastAsia="zh-CN"/>
        </w:rPr>
        <w:t>清单</w:t>
      </w:r>
    </w:p>
    <w:tbl>
      <w:tblPr>
        <w:tblStyle w:val="19"/>
        <w:tblW w:w="9696" w:type="dxa"/>
        <w:tblInd w:w="-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2725"/>
        <w:gridCol w:w="579"/>
        <w:gridCol w:w="539"/>
        <w:gridCol w:w="951"/>
        <w:gridCol w:w="1441"/>
        <w:gridCol w:w="1059"/>
        <w:gridCol w:w="1905"/>
      </w:tblGrid>
      <w:tr w14:paraId="770B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5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序号</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内容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数量</w:t>
            </w:r>
            <w:r>
              <w:rPr>
                <w:rFonts w:hint="eastAsia" w:ascii="微软雅黑" w:hAnsi="微软雅黑" w:eastAsia="微软雅黑" w:cs="微软雅黑"/>
                <w:b/>
                <w:bCs/>
                <w:i w:val="0"/>
                <w:iCs w:val="0"/>
                <w:snapToGrid w:val="0"/>
                <w:color w:val="000000"/>
                <w:kern w:val="0"/>
                <w:sz w:val="13"/>
                <w:szCs w:val="13"/>
                <w:u w:val="none"/>
                <w:lang w:val="en-US" w:eastAsia="zh-CN" w:bidi="ar"/>
              </w:rPr>
              <w:br w:type="textWrapping"/>
            </w:r>
            <w:r>
              <w:rPr>
                <w:rFonts w:hint="eastAsia" w:ascii="微软雅黑" w:hAnsi="微软雅黑" w:eastAsia="微软雅黑" w:cs="微软雅黑"/>
                <w:b/>
                <w:bCs/>
                <w:i w:val="0"/>
                <w:iCs w:val="0"/>
                <w:snapToGrid w:val="0"/>
                <w:color w:val="000000"/>
                <w:kern w:val="0"/>
                <w:sz w:val="13"/>
                <w:szCs w:val="13"/>
                <w:u w:val="none"/>
                <w:lang w:val="en-US" w:eastAsia="zh-CN" w:bidi="ar"/>
              </w:rPr>
              <w:t>（A）</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D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snapToGrid w:val="0"/>
                <w:color w:val="000000"/>
                <w:kern w:val="0"/>
                <w:sz w:val="13"/>
                <w:szCs w:val="13"/>
                <w:u w:val="none"/>
                <w:lang w:val="en-US" w:eastAsia="zh-CN" w:bidi="ar"/>
              </w:rPr>
            </w:pPr>
            <w:r>
              <w:rPr>
                <w:rFonts w:hint="eastAsia" w:ascii="微软雅黑" w:hAnsi="微软雅黑" w:eastAsia="微软雅黑" w:cs="微软雅黑"/>
                <w:b/>
                <w:bCs/>
                <w:i w:val="0"/>
                <w:iCs w:val="0"/>
                <w:snapToGrid w:val="0"/>
                <w:color w:val="000000"/>
                <w:kern w:val="0"/>
                <w:sz w:val="13"/>
                <w:szCs w:val="13"/>
                <w:u w:val="none"/>
                <w:lang w:val="en-US" w:eastAsia="zh-CN" w:bidi="ar"/>
              </w:rPr>
              <w:t>含税单价</w:t>
            </w:r>
          </w:p>
          <w:p w14:paraId="574F3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（B）</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F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含税总价</w:t>
            </w:r>
            <w:r>
              <w:rPr>
                <w:rFonts w:hint="eastAsia" w:ascii="微软雅黑" w:hAnsi="微软雅黑" w:eastAsia="微软雅黑" w:cs="微软雅黑"/>
                <w:b/>
                <w:bCs/>
                <w:i w:val="0"/>
                <w:iCs w:val="0"/>
                <w:snapToGrid w:val="0"/>
                <w:color w:val="000000"/>
                <w:kern w:val="0"/>
                <w:sz w:val="13"/>
                <w:szCs w:val="13"/>
                <w:u w:val="none"/>
                <w:lang w:val="en-US" w:eastAsia="zh-CN" w:bidi="ar"/>
              </w:rPr>
              <w:br w:type="textWrapping"/>
            </w:r>
            <w:r>
              <w:rPr>
                <w:rFonts w:hint="eastAsia" w:ascii="微软雅黑" w:hAnsi="微软雅黑" w:eastAsia="微软雅黑" w:cs="微软雅黑"/>
                <w:b/>
                <w:bCs/>
                <w:i w:val="0"/>
                <w:iCs w:val="0"/>
                <w:snapToGrid w:val="0"/>
                <w:color w:val="000000"/>
                <w:kern w:val="0"/>
                <w:sz w:val="13"/>
                <w:szCs w:val="13"/>
                <w:u w:val="none"/>
                <w:lang w:val="en-US" w:eastAsia="zh-CN" w:bidi="ar"/>
              </w:rPr>
              <w:t>（A*B）</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C0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snapToGrid w:val="0"/>
                <w:color w:val="000000"/>
                <w:kern w:val="0"/>
                <w:sz w:val="13"/>
                <w:szCs w:val="13"/>
                <w:u w:val="none"/>
                <w:lang w:val="en-US" w:eastAsia="zh-CN" w:bidi="ar"/>
              </w:rPr>
              <w:t>备注（参考图片及链接）</w:t>
            </w:r>
          </w:p>
        </w:tc>
      </w:tr>
      <w:tr w14:paraId="3B10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1</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1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定制玛戈隆特便携旅行茶具套装（骨瓷，西湖盛宴款/远山款，一壶两杯）</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0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150</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A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套</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DEBC">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A310">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1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drawing>
                <wp:anchor distT="0" distB="0" distL="114300" distR="114300" simplePos="0" relativeHeight="251662336" behindDoc="0" locked="0" layoutInCell="1" allowOverlap="1">
                  <wp:simplePos x="0" y="0"/>
                  <wp:positionH relativeFrom="column">
                    <wp:posOffset>111125</wp:posOffset>
                  </wp:positionH>
                  <wp:positionV relativeFrom="paragraph">
                    <wp:posOffset>-38735</wp:posOffset>
                  </wp:positionV>
                  <wp:extent cx="408305" cy="396875"/>
                  <wp:effectExtent l="0" t="0" r="10795" b="9525"/>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8"/>
                          <a:stretch>
                            <a:fillRect/>
                          </a:stretch>
                        </pic:blipFill>
                        <pic:spPr>
                          <a:xfrm>
                            <a:off x="0" y="0"/>
                            <a:ext cx="408305" cy="396875"/>
                          </a:xfrm>
                          <a:prstGeom prst="rect">
                            <a:avLst/>
                          </a:prstGeom>
                          <a:noFill/>
                          <a:ln w="9525">
                            <a:noFill/>
                          </a:ln>
                        </pic:spPr>
                      </pic:pic>
                    </a:graphicData>
                  </a:graphic>
                </wp:anchor>
              </w:drawing>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snapToGrid w:val="0"/>
                <w:color w:val="000000"/>
                <w:kern w:val="0"/>
                <w:sz w:val="11"/>
                <w:szCs w:val="11"/>
                <w:u w:val="none"/>
                <w:lang w:val="en-US" w:eastAsia="zh-CN" w:bidi="ar"/>
              </w:rPr>
              <w:t>https://item.jd.com/100035347563.html</w:t>
            </w:r>
          </w:p>
        </w:tc>
      </w:tr>
      <w:tr w14:paraId="42A9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B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2</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C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定制膳魔师（THERMOS）保温杯（400ml，带茶滤，入夜棕/玄黑/珍珠白/岁月茶金）</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7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150</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D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个</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764">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CE2E">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1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drawing>
                <wp:anchor distT="0" distB="0" distL="114300" distR="114300" simplePos="0" relativeHeight="251663360" behindDoc="0" locked="0" layoutInCell="1" allowOverlap="1">
                  <wp:simplePos x="0" y="0"/>
                  <wp:positionH relativeFrom="column">
                    <wp:posOffset>51435</wp:posOffset>
                  </wp:positionH>
                  <wp:positionV relativeFrom="paragraph">
                    <wp:posOffset>-38100</wp:posOffset>
                  </wp:positionV>
                  <wp:extent cx="504825" cy="359410"/>
                  <wp:effectExtent l="0" t="0" r="3175" b="8890"/>
                  <wp:wrapNone/>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1"/>
                          </pic:cNvPicPr>
                        </pic:nvPicPr>
                        <pic:blipFill>
                          <a:blip r:embed="rId9"/>
                          <a:stretch>
                            <a:fillRect/>
                          </a:stretch>
                        </pic:blipFill>
                        <pic:spPr>
                          <a:xfrm>
                            <a:off x="0" y="0"/>
                            <a:ext cx="504825" cy="359410"/>
                          </a:xfrm>
                          <a:prstGeom prst="rect">
                            <a:avLst/>
                          </a:prstGeom>
                          <a:noFill/>
                          <a:ln w="9525">
                            <a:noFill/>
                          </a:ln>
                        </pic:spPr>
                      </pic:pic>
                    </a:graphicData>
                  </a:graphic>
                </wp:anchor>
              </w:drawing>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7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snapToGrid w:val="0"/>
                <w:color w:val="000000"/>
                <w:kern w:val="0"/>
                <w:sz w:val="11"/>
                <w:szCs w:val="11"/>
                <w:u w:val="none"/>
                <w:lang w:val="en-US" w:eastAsia="zh-CN" w:bidi="ar"/>
              </w:rPr>
              <w:t>https://item.jd.com/100107940882.html</w:t>
            </w:r>
          </w:p>
        </w:tc>
      </w:tr>
      <w:tr w14:paraId="4F7E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E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3</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定制摩飞车载吸尘器(MR3936，无线便携手持款，椰奶白/铁灰色）</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F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1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BD41">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3EE3">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3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drawing>
                <wp:anchor distT="0" distB="0" distL="114300" distR="114300" simplePos="0" relativeHeight="251664384" behindDoc="0" locked="0" layoutInCell="1" allowOverlap="1">
                  <wp:simplePos x="0" y="0"/>
                  <wp:positionH relativeFrom="column">
                    <wp:posOffset>77470</wp:posOffset>
                  </wp:positionH>
                  <wp:positionV relativeFrom="paragraph">
                    <wp:posOffset>-1270</wp:posOffset>
                  </wp:positionV>
                  <wp:extent cx="420370" cy="406400"/>
                  <wp:effectExtent l="0" t="0" r="11430" b="0"/>
                  <wp:wrapNone/>
                  <wp:docPr id="15"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8"/>
                          <pic:cNvPicPr>
                            <a:picLocks noChangeAspect="1"/>
                          </pic:cNvPicPr>
                        </pic:nvPicPr>
                        <pic:blipFill>
                          <a:blip r:embed="rId10"/>
                          <a:stretch>
                            <a:fillRect/>
                          </a:stretch>
                        </pic:blipFill>
                        <pic:spPr>
                          <a:xfrm>
                            <a:off x="0" y="0"/>
                            <a:ext cx="420370" cy="406400"/>
                          </a:xfrm>
                          <a:prstGeom prst="rect">
                            <a:avLst/>
                          </a:prstGeom>
                          <a:noFill/>
                          <a:ln w="9525">
                            <a:noFill/>
                          </a:ln>
                        </pic:spPr>
                      </pic:pic>
                    </a:graphicData>
                  </a:graphic>
                </wp:anchor>
              </w:drawing>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2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https://item.jd.com/55791754519.html</w:t>
            </w:r>
          </w:p>
        </w:tc>
      </w:tr>
      <w:tr w14:paraId="425F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4</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A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定制松下（Panasonic）冲牙器（DJ33， 白 /蓝/绿/粉）</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4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150</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E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51C9">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C04A">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E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drawing>
                <wp:inline distT="0" distB="0" distL="114300" distR="114300">
                  <wp:extent cx="394335" cy="308610"/>
                  <wp:effectExtent l="0" t="0" r="12065" b="8890"/>
                  <wp:docPr id="1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IMG_260"/>
                          <pic:cNvPicPr>
                            <a:picLocks noChangeAspect="1"/>
                          </pic:cNvPicPr>
                        </pic:nvPicPr>
                        <pic:blipFill>
                          <a:blip r:embed="rId11"/>
                          <a:stretch>
                            <a:fillRect/>
                          </a:stretch>
                        </pic:blipFill>
                        <pic:spPr>
                          <a:xfrm>
                            <a:off x="0" y="0"/>
                            <a:ext cx="394335" cy="308610"/>
                          </a:xfrm>
                          <a:prstGeom prst="rect">
                            <a:avLst/>
                          </a:prstGeom>
                          <a:noFill/>
                          <a:ln w="9525">
                            <a:noFill/>
                          </a:ln>
                        </pic:spPr>
                      </pic:pic>
                    </a:graphicData>
                  </a:graphic>
                </wp:inline>
              </w:drawing>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E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https://item.jd.com/100037410712.html#switch-sku</w:t>
            </w:r>
          </w:p>
        </w:tc>
      </w:tr>
      <w:tr w14:paraId="2AED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E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5</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9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 xml:space="preserve">定制松下（Panasonic）暖风取暖器（DS-PF2027CW，升级石墨烯摇头遥控款）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0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200</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C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DC28">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C41E">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C3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drawing>
                <wp:anchor distT="0" distB="0" distL="114300" distR="114300" simplePos="0" relativeHeight="251665408" behindDoc="0" locked="0" layoutInCell="1" allowOverlap="1">
                  <wp:simplePos x="0" y="0"/>
                  <wp:positionH relativeFrom="column">
                    <wp:posOffset>14605</wp:posOffset>
                  </wp:positionH>
                  <wp:positionV relativeFrom="paragraph">
                    <wp:posOffset>7620</wp:posOffset>
                  </wp:positionV>
                  <wp:extent cx="547370" cy="373380"/>
                  <wp:effectExtent l="0" t="0" r="11430" b="7620"/>
                  <wp:wrapNone/>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12"/>
                          <a:stretch>
                            <a:fillRect/>
                          </a:stretch>
                        </pic:blipFill>
                        <pic:spPr>
                          <a:xfrm>
                            <a:off x="0" y="0"/>
                            <a:ext cx="547370" cy="373380"/>
                          </a:xfrm>
                          <a:prstGeom prst="rect">
                            <a:avLst/>
                          </a:prstGeom>
                          <a:noFill/>
                          <a:ln w="9525">
                            <a:noFill/>
                          </a:ln>
                        </pic:spPr>
                      </pic:pic>
                    </a:graphicData>
                  </a:graphic>
                </wp:anchor>
              </w:drawing>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3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https://item.jd.com/100278212928.html#switch-sku</w:t>
            </w:r>
          </w:p>
        </w:tc>
      </w:tr>
      <w:tr w14:paraId="30C9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C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6</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6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定制松下（Panasonic）筋膜肌肉按摩器（RAD23旗舰小方盒，经典白/丁香紫）</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150</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9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台</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1162">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C5D3">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3"/>
                <w:szCs w:val="13"/>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7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drawing>
                <wp:inline distT="0" distB="0" distL="114300" distR="114300">
                  <wp:extent cx="563245" cy="356235"/>
                  <wp:effectExtent l="0" t="0" r="8255" b="1206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3"/>
                          <a:stretch>
                            <a:fillRect/>
                          </a:stretch>
                        </pic:blipFill>
                        <pic:spPr>
                          <a:xfrm>
                            <a:off x="0" y="0"/>
                            <a:ext cx="563245" cy="356235"/>
                          </a:xfrm>
                          <a:prstGeom prst="rect">
                            <a:avLst/>
                          </a:prstGeom>
                          <a:noFill/>
                          <a:ln w="9525">
                            <a:noFill/>
                          </a:ln>
                        </pic:spPr>
                      </pic:pic>
                    </a:graphicData>
                  </a:graphic>
                </wp:inline>
              </w:drawing>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5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snapToGrid w:val="0"/>
                <w:color w:val="000000"/>
                <w:kern w:val="0"/>
                <w:sz w:val="13"/>
                <w:szCs w:val="13"/>
                <w:u w:val="none"/>
                <w:lang w:val="en-US" w:eastAsia="zh-CN" w:bidi="ar"/>
              </w:rPr>
              <w:t>https://item.jd.com/100082134366.html#switch-sku</w:t>
            </w:r>
          </w:p>
        </w:tc>
      </w:tr>
      <w:tr w14:paraId="0D6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5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C480">
            <w:pPr>
              <w:keepNext w:val="0"/>
              <w:keepLines w:val="0"/>
              <w:widowControl/>
              <w:suppressLineNumbers w:val="0"/>
              <w:jc w:val="righ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含税总价：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44B9">
            <w:pPr>
              <w:jc w:val="center"/>
              <w:rPr>
                <w:rFonts w:hint="eastAsia" w:ascii="微软雅黑" w:hAnsi="微软雅黑" w:eastAsia="微软雅黑" w:cs="微软雅黑"/>
                <w:b/>
                <w:bCs/>
                <w:i w:val="0"/>
                <w:iCs w:val="0"/>
                <w:color w:val="000000"/>
                <w:sz w:val="13"/>
                <w:szCs w:val="13"/>
                <w:u w:val="none"/>
              </w:rPr>
            </w:pPr>
          </w:p>
        </w:tc>
        <w:tc>
          <w:tcPr>
            <w:tcW w:w="2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D44A">
            <w:pPr>
              <w:jc w:val="center"/>
              <w:rPr>
                <w:rFonts w:hint="eastAsia" w:ascii="微软雅黑" w:hAnsi="微软雅黑" w:eastAsia="微软雅黑" w:cs="微软雅黑"/>
                <w:i w:val="0"/>
                <w:iCs w:val="0"/>
                <w:color w:val="000000"/>
                <w:sz w:val="13"/>
                <w:szCs w:val="13"/>
                <w:u w:val="none"/>
              </w:rPr>
            </w:pPr>
          </w:p>
        </w:tc>
      </w:tr>
      <w:tr w14:paraId="69D3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9BFB">
            <w:pPr>
              <w:keepNext w:val="0"/>
              <w:keepLines w:val="0"/>
              <w:widowControl/>
              <w:suppressLineNumbers w:val="0"/>
              <w:jc w:val="righ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税（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07A1">
            <w:pPr>
              <w:jc w:val="center"/>
              <w:rPr>
                <w:rFonts w:hint="eastAsia" w:ascii="微软雅黑" w:hAnsi="微软雅黑" w:eastAsia="微软雅黑" w:cs="微软雅黑"/>
                <w:b/>
                <w:bCs/>
                <w:i w:val="0"/>
                <w:iCs w:val="0"/>
                <w:color w:val="000000"/>
                <w:sz w:val="13"/>
                <w:szCs w:val="13"/>
                <w:u w:val="none"/>
              </w:rPr>
            </w:pPr>
          </w:p>
        </w:tc>
        <w:tc>
          <w:tcPr>
            <w:tcW w:w="2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E6A2">
            <w:pPr>
              <w:jc w:val="center"/>
              <w:rPr>
                <w:rFonts w:hint="eastAsia" w:ascii="微软雅黑" w:hAnsi="微软雅黑" w:eastAsia="微软雅黑" w:cs="微软雅黑"/>
                <w:i w:val="0"/>
                <w:iCs w:val="0"/>
                <w:color w:val="000000"/>
                <w:sz w:val="13"/>
                <w:szCs w:val="13"/>
                <w:u w:val="none"/>
              </w:rPr>
            </w:pPr>
          </w:p>
        </w:tc>
      </w:tr>
      <w:tr w14:paraId="3346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0B11">
            <w:pPr>
              <w:keepNext w:val="0"/>
              <w:keepLines w:val="0"/>
              <w:widowControl/>
              <w:suppressLineNumbers w:val="0"/>
              <w:jc w:val="righ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不含税总价：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A199">
            <w:pPr>
              <w:jc w:val="center"/>
              <w:rPr>
                <w:rFonts w:hint="eastAsia" w:ascii="微软雅黑" w:hAnsi="微软雅黑" w:eastAsia="微软雅黑" w:cs="微软雅黑"/>
                <w:b/>
                <w:bCs/>
                <w:i w:val="0"/>
                <w:iCs w:val="0"/>
                <w:color w:val="000000"/>
                <w:sz w:val="13"/>
                <w:szCs w:val="13"/>
                <w:u w:val="none"/>
              </w:rPr>
            </w:pPr>
          </w:p>
        </w:tc>
        <w:tc>
          <w:tcPr>
            <w:tcW w:w="2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6A9F">
            <w:pPr>
              <w:jc w:val="center"/>
              <w:rPr>
                <w:rFonts w:hint="eastAsia" w:ascii="微软雅黑" w:hAnsi="微软雅黑" w:eastAsia="微软雅黑" w:cs="微软雅黑"/>
                <w:i w:val="0"/>
                <w:iCs w:val="0"/>
                <w:color w:val="000000"/>
                <w:sz w:val="13"/>
                <w:szCs w:val="13"/>
                <w:u w:val="none"/>
              </w:rPr>
            </w:pPr>
          </w:p>
        </w:tc>
      </w:tr>
      <w:tr w14:paraId="2504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69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85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i w:val="0"/>
                <w:iCs w:val="0"/>
                <w:color w:val="FF0000"/>
                <w:sz w:val="13"/>
                <w:szCs w:val="13"/>
                <w:u w:val="none"/>
              </w:rPr>
            </w:pPr>
            <w:r>
              <w:rPr>
                <w:rFonts w:hint="eastAsia" w:ascii="微软雅黑" w:hAnsi="微软雅黑" w:eastAsia="微软雅黑" w:cs="微软雅黑"/>
                <w:i w:val="0"/>
                <w:iCs w:val="0"/>
                <w:color w:val="FF0000"/>
                <w:sz w:val="13"/>
                <w:szCs w:val="13"/>
                <w:u w:val="none"/>
              </w:rPr>
              <w:t>备注：本次报价清单为统一格式，不得随意更改。</w:t>
            </w:r>
          </w:p>
          <w:p w14:paraId="683AAA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i w:val="0"/>
                <w:iCs w:val="0"/>
                <w:color w:val="FF0000"/>
                <w:sz w:val="13"/>
                <w:szCs w:val="13"/>
                <w:u w:val="none"/>
              </w:rPr>
            </w:pPr>
            <w:r>
              <w:rPr>
                <w:rFonts w:hint="eastAsia" w:ascii="微软雅黑" w:hAnsi="微软雅黑" w:eastAsia="微软雅黑" w:cs="微软雅黑"/>
                <w:i w:val="0"/>
                <w:iCs w:val="0"/>
                <w:color w:val="FF0000"/>
                <w:sz w:val="13"/>
                <w:szCs w:val="13"/>
                <w:u w:val="none"/>
              </w:rPr>
              <w:t>1、单价（含税）包含所有运输费、服务费等。</w:t>
            </w:r>
          </w:p>
          <w:p w14:paraId="1F29EE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FF0000"/>
                <w:sz w:val="13"/>
                <w:szCs w:val="13"/>
                <w:u w:val="none"/>
              </w:rPr>
              <w:t>2、报价单格式为统一格式，不得随意改动，如有改动将作为废标处理。</w:t>
            </w:r>
          </w:p>
        </w:tc>
      </w:tr>
    </w:tbl>
    <w:p w14:paraId="3C86AAB9">
      <w:pPr>
        <w:topLinePunct/>
        <w:spacing w:line="280" w:lineRule="atLeast"/>
        <w:rPr>
          <w:rFonts w:hint="eastAsia" w:ascii="仿宋_GB2312" w:hAnsi="仿宋_GB2312" w:eastAsia="仿宋_GB2312"/>
          <w:sz w:val="24"/>
          <w:highlight w:val="none"/>
        </w:rPr>
      </w:pPr>
      <w:r>
        <w:rPr>
          <w:rFonts w:hint="eastAsia" w:ascii="仿宋_GB2312" w:hAnsi="仿宋_GB2312" w:eastAsia="仿宋_GB2312"/>
          <w:sz w:val="24"/>
          <w:highlight w:val="none"/>
        </w:rPr>
        <w:t>注：</w:t>
      </w:r>
    </w:p>
    <w:p w14:paraId="15504CE2">
      <w:pPr>
        <w:topLinePunct/>
        <w:spacing w:line="280" w:lineRule="atLeast"/>
        <w:rPr>
          <w:rFonts w:hint="eastAsia" w:ascii="仿宋_GB2312" w:hAnsi="仿宋_GB2312" w:eastAsia="仿宋_GB2312"/>
          <w:sz w:val="22"/>
          <w:szCs w:val="22"/>
          <w:highlight w:val="none"/>
        </w:rPr>
      </w:pPr>
      <w:r>
        <w:rPr>
          <w:rFonts w:hint="eastAsia" w:ascii="仿宋_GB2312" w:hAnsi="仿宋_GB2312" w:eastAsia="仿宋_GB2312"/>
          <w:sz w:val="22"/>
          <w:szCs w:val="22"/>
          <w:highlight w:val="none"/>
        </w:rPr>
        <w:t>1.本项目最高限价为：</w:t>
      </w:r>
      <w:r>
        <w:rPr>
          <w:rFonts w:hint="eastAsia" w:ascii="仿宋_GB2312" w:hAnsi="仿宋_GB2312" w:eastAsia="仿宋_GB2312"/>
          <w:sz w:val="22"/>
          <w:szCs w:val="22"/>
          <w:highlight w:val="none"/>
          <w:lang w:val="en-US" w:eastAsia="zh-CN"/>
        </w:rPr>
        <w:t>275400</w:t>
      </w:r>
      <w:r>
        <w:rPr>
          <w:rFonts w:hint="eastAsia" w:ascii="仿宋_GB2312" w:hAnsi="仿宋_GB2312" w:eastAsia="仿宋_GB2312"/>
          <w:sz w:val="22"/>
          <w:szCs w:val="22"/>
          <w:highlight w:val="none"/>
        </w:rPr>
        <w:t>.00元，供应商报价高于最高限价的为废标。</w:t>
      </w:r>
    </w:p>
    <w:p w14:paraId="44A22D21">
      <w:pPr>
        <w:topLinePunct/>
        <w:spacing w:line="280" w:lineRule="atLeast"/>
        <w:rPr>
          <w:rFonts w:hint="eastAsia" w:ascii="仿宋_GB2312" w:hAnsi="仿宋_GB2312" w:eastAsia="仿宋_GB2312"/>
          <w:sz w:val="22"/>
          <w:szCs w:val="22"/>
          <w:highlight w:val="none"/>
        </w:rPr>
      </w:pPr>
      <w:r>
        <w:rPr>
          <w:rFonts w:hint="eastAsia" w:ascii="仿宋_GB2312" w:hAnsi="仿宋_GB2312" w:eastAsia="仿宋_GB2312"/>
          <w:sz w:val="22"/>
          <w:szCs w:val="22"/>
          <w:highlight w:val="none"/>
        </w:rPr>
        <w:t>2.报价说明：</w:t>
      </w:r>
      <w:bookmarkStart w:id="202" w:name="_Hlk153548656"/>
      <w:r>
        <w:rPr>
          <w:rFonts w:hint="eastAsia" w:ascii="仿宋_GB2312" w:hAnsi="仿宋_GB2312" w:eastAsia="仿宋_GB2312"/>
          <w:sz w:val="22"/>
          <w:szCs w:val="22"/>
          <w:highlight w:val="none"/>
        </w:rPr>
        <w:t>该固定</w:t>
      </w:r>
      <w:r>
        <w:rPr>
          <w:rFonts w:hint="eastAsia" w:ascii="仿宋_GB2312" w:hAnsi="仿宋_GB2312" w:eastAsia="仿宋_GB2312"/>
          <w:sz w:val="22"/>
          <w:szCs w:val="22"/>
          <w:highlight w:val="none"/>
          <w:lang w:val="en-US" w:eastAsia="zh-CN"/>
        </w:rPr>
        <w:t>单</w:t>
      </w:r>
      <w:r>
        <w:rPr>
          <w:rFonts w:hint="eastAsia" w:ascii="仿宋_GB2312" w:hAnsi="仿宋_GB2312" w:eastAsia="仿宋_GB2312"/>
          <w:sz w:val="22"/>
          <w:szCs w:val="22"/>
          <w:highlight w:val="none"/>
        </w:rPr>
        <w:t>价已包括但不限于乙方为甲方提供服务的所有税费和项目组人员的住宿费、生活费、往返差旅费、人身保险费、原材料、生产、包装、运输、保险、安装调试试运行及所需的附属材料（如需）、报检验收、利润、税费、乙方本合同及附件中所有采购产品及服务内容及义务及责任等其他一切费用，如遇国家政策等不可控制因素调整增值税税率，则按照税前价不变的原则继续执行本合同。</w:t>
      </w:r>
      <w:bookmarkEnd w:id="202"/>
    </w:p>
    <w:p w14:paraId="1CAA1937">
      <w:pPr>
        <w:topLinePunct/>
        <w:spacing w:line="280" w:lineRule="atLeast"/>
        <w:rPr>
          <w:rFonts w:hint="eastAsia" w:ascii="仿宋_GB2312" w:hAnsi="仿宋_GB2312" w:eastAsia="仿宋_GB2312"/>
          <w:sz w:val="22"/>
          <w:szCs w:val="22"/>
          <w:highlight w:val="none"/>
        </w:rPr>
      </w:pPr>
      <w:r>
        <w:rPr>
          <w:rFonts w:hint="eastAsia" w:ascii="仿宋_GB2312" w:hAnsi="仿宋_GB2312" w:eastAsia="仿宋_GB2312"/>
          <w:sz w:val="22"/>
          <w:szCs w:val="22"/>
          <w:highlight w:val="none"/>
        </w:rPr>
        <w:t>3.报价说明：本项目为固定总价合同，本项目服务费用根据合同约定内容支付。</w:t>
      </w:r>
    </w:p>
    <w:p w14:paraId="10E60CE3">
      <w:pPr>
        <w:pStyle w:val="9"/>
        <w:rPr>
          <w:highlight w:val="none"/>
        </w:rPr>
      </w:pPr>
    </w:p>
    <w:p w14:paraId="44961EBC">
      <w:pPr>
        <w:topLinePunct/>
        <w:spacing w:line="500" w:lineRule="atLeast"/>
        <w:ind w:firstLine="480" w:firstLineChars="200"/>
        <w:rPr>
          <w:rFonts w:hint="eastAsia" w:ascii="仿宋_GB2312" w:hAnsi="仿宋_GB2312" w:eastAsia="仿宋_GB2312"/>
          <w:sz w:val="24"/>
          <w:highlight w:val="none"/>
        </w:rPr>
      </w:pPr>
      <w:r>
        <w:rPr>
          <w:rFonts w:hint="eastAsia" w:ascii="仿宋_GB2312" w:hAnsi="仿宋_GB2312" w:eastAsia="仿宋_GB2312"/>
          <w:sz w:val="24"/>
          <w:highlight w:val="none"/>
        </w:rPr>
        <w:t xml:space="preserve">供 应 商：   </w:t>
      </w:r>
      <w:r>
        <w:rPr>
          <w:rFonts w:ascii="仿宋_GB2312" w:hAnsi="仿宋_GB2312" w:eastAsia="仿宋_GB2312"/>
          <w:sz w:val="24"/>
          <w:highlight w:val="none"/>
        </w:rPr>
        <w:t xml:space="preserve">           </w:t>
      </w:r>
      <w:r>
        <w:rPr>
          <w:rFonts w:hint="eastAsia" w:ascii="仿宋_GB2312" w:hAnsi="仿宋_GB2312" w:eastAsia="仿宋_GB2312"/>
          <w:sz w:val="24"/>
          <w:highlight w:val="none"/>
        </w:rPr>
        <w:t xml:space="preserve">  （盖单位章）</w:t>
      </w:r>
    </w:p>
    <w:p w14:paraId="4E25DE46">
      <w:pPr>
        <w:topLinePunct/>
        <w:spacing w:line="500" w:lineRule="atLeast"/>
        <w:ind w:firstLine="480" w:firstLineChars="200"/>
        <w:rPr>
          <w:rFonts w:hint="eastAsia" w:ascii="仿宋_GB2312" w:hAnsi="仿宋_GB2312" w:eastAsia="仿宋_GB2312"/>
          <w:sz w:val="24"/>
          <w:highlight w:val="none"/>
        </w:rPr>
      </w:pPr>
      <w:r>
        <w:rPr>
          <w:rFonts w:hint="eastAsia" w:ascii="仿宋_GB2312" w:hAnsi="仿宋_GB2312" w:eastAsia="仿宋_GB2312"/>
          <w:sz w:val="24"/>
          <w:highlight w:val="none"/>
        </w:rPr>
        <w:t>法定代表人或其委托代理人：          （签字）</w:t>
      </w:r>
    </w:p>
    <w:p w14:paraId="7D1D54BC">
      <w:pPr>
        <w:topLinePunct/>
        <w:spacing w:line="500" w:lineRule="atLeast"/>
        <w:ind w:firstLine="480" w:firstLineChars="200"/>
        <w:rPr>
          <w:rFonts w:ascii="Times New Roman" w:hAnsi="Times New Roman" w:eastAsia="黑体"/>
          <w:sz w:val="24"/>
          <w:highlight w:val="none"/>
        </w:rPr>
      </w:pPr>
      <w:bookmarkStart w:id="203" w:name="_Hlk115954377"/>
      <w:r>
        <w:rPr>
          <w:rFonts w:hint="eastAsia" w:ascii="仿宋_GB2312" w:hAnsi="仿宋_GB2312" w:eastAsia="仿宋_GB2312"/>
          <w:sz w:val="24"/>
          <w:highlight w:val="none"/>
        </w:rPr>
        <w:t>日    期：</w:t>
      </w:r>
      <w:bookmarkEnd w:id="203"/>
      <w:r>
        <w:rPr>
          <w:rFonts w:hint="eastAsia" w:ascii="仿宋_GB2312" w:hAnsi="仿宋_GB2312" w:eastAsia="仿宋_GB2312"/>
          <w:sz w:val="24"/>
          <w:highlight w:val="none"/>
        </w:rPr>
        <w:t xml:space="preserve">     年  </w:t>
      </w:r>
      <w:r>
        <w:rPr>
          <w:rFonts w:ascii="仿宋_GB2312" w:hAnsi="仿宋_GB2312" w:eastAsia="仿宋_GB2312"/>
          <w:sz w:val="24"/>
          <w:highlight w:val="none"/>
        </w:rPr>
        <w:t xml:space="preserve"> </w:t>
      </w:r>
      <w:r>
        <w:rPr>
          <w:rFonts w:hint="eastAsia" w:ascii="仿宋_GB2312" w:hAnsi="仿宋_GB2312" w:eastAsia="仿宋_GB2312"/>
          <w:sz w:val="24"/>
          <w:highlight w:val="none"/>
        </w:rPr>
        <w:t xml:space="preserve">  月  </w:t>
      </w:r>
      <w:r>
        <w:rPr>
          <w:rFonts w:ascii="仿宋_GB2312" w:hAnsi="仿宋_GB2312" w:eastAsia="仿宋_GB2312"/>
          <w:sz w:val="24"/>
          <w:highlight w:val="none"/>
        </w:rPr>
        <w:t xml:space="preserve"> </w:t>
      </w:r>
      <w:r>
        <w:rPr>
          <w:rFonts w:hint="eastAsia" w:ascii="仿宋_GB2312" w:hAnsi="仿宋_GB2312" w:eastAsia="仿宋_GB2312"/>
          <w:sz w:val="24"/>
          <w:highlight w:val="none"/>
        </w:rPr>
        <w:t xml:space="preserve">  日</w:t>
      </w:r>
    </w:p>
    <w:p w14:paraId="5F36D44E">
      <w:pPr>
        <w:spacing w:line="440" w:lineRule="exact"/>
        <w:ind w:firstLine="480" w:firstLineChars="200"/>
        <w:rPr>
          <w:rFonts w:ascii="Times New Roman" w:hAnsi="Times New Roman" w:eastAsia="黑体"/>
          <w:sz w:val="24"/>
          <w:highlight w:val="none"/>
        </w:rPr>
      </w:pPr>
    </w:p>
    <w:p w14:paraId="7274F9B6">
      <w:pPr>
        <w:spacing w:line="440" w:lineRule="exact"/>
        <w:rPr>
          <w:rFonts w:ascii="Times New Roman" w:hAnsi="Times New Roman" w:eastAsia="黑体"/>
          <w:sz w:val="24"/>
          <w:highlight w:val="none"/>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3EF0DD36">
      <w:pPr>
        <w:topLinePunct/>
        <w:spacing w:line="440" w:lineRule="exact"/>
        <w:jc w:val="center"/>
        <w:rPr>
          <w:rFonts w:ascii="Times New Roman" w:hAnsi="Times New Roman" w:eastAsia="黑体"/>
          <w:sz w:val="28"/>
          <w:szCs w:val="28"/>
          <w:highlight w:val="none"/>
        </w:rPr>
      </w:pPr>
      <w:bookmarkStart w:id="204" w:name="_Toc27812_WPSOffice_Level1"/>
      <w:bookmarkStart w:id="205" w:name="_Toc23545_WPSOffice_Level1"/>
      <w:bookmarkStart w:id="206" w:name="_Toc7738_WPSOffice_Level1"/>
      <w:bookmarkStart w:id="207" w:name="_Toc22815_WPSOffice_Level1"/>
      <w:bookmarkStart w:id="208" w:name="_Toc25920_WPSOffice_Level1"/>
      <w:bookmarkStart w:id="209" w:name="_Toc31445_WPSOffice_Level1"/>
      <w:bookmarkStart w:id="210" w:name="_Toc10436_WPSOffice_Level1"/>
      <w:r>
        <w:rPr>
          <w:rFonts w:hint="eastAsia" w:ascii="Times New Roman" w:hAnsi="Times New Roman" w:eastAsia="黑体"/>
          <w:sz w:val="28"/>
          <w:szCs w:val="28"/>
          <w:highlight w:val="none"/>
        </w:rPr>
        <w:t>四</w:t>
      </w:r>
      <w:r>
        <w:rPr>
          <w:rFonts w:ascii="Times New Roman" w:hAnsi="Times New Roman" w:eastAsia="黑体"/>
          <w:sz w:val="28"/>
          <w:szCs w:val="28"/>
          <w:highlight w:val="none"/>
        </w:rPr>
        <w:t>、</w:t>
      </w:r>
      <w:bookmarkStart w:id="211" w:name="_Toc2807_WPSOffice_Level2"/>
      <w:bookmarkStart w:id="212" w:name="_Toc27600_WPSOffice_Level2"/>
      <w:r>
        <w:rPr>
          <w:rFonts w:ascii="Times New Roman" w:hAnsi="Times New Roman" w:eastAsia="黑体"/>
          <w:sz w:val="28"/>
          <w:szCs w:val="28"/>
          <w:highlight w:val="none"/>
        </w:rPr>
        <w:t>供应商基本情况</w:t>
      </w:r>
      <w:bookmarkEnd w:id="204"/>
      <w:bookmarkEnd w:id="205"/>
      <w:bookmarkEnd w:id="206"/>
      <w:bookmarkEnd w:id="207"/>
      <w:bookmarkEnd w:id="208"/>
      <w:bookmarkEnd w:id="209"/>
      <w:bookmarkEnd w:id="210"/>
      <w:bookmarkEnd w:id="211"/>
      <w:bookmarkEnd w:id="212"/>
    </w:p>
    <w:p w14:paraId="279E666F">
      <w:pPr>
        <w:topLinePunct/>
        <w:spacing w:line="440" w:lineRule="exact"/>
        <w:jc w:val="center"/>
        <w:rPr>
          <w:rFonts w:ascii="Times New Roman" w:hAnsi="Times New Roman"/>
          <w:sz w:val="23"/>
          <w:szCs w:val="23"/>
          <w:highlight w:val="none"/>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02877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4682662">
            <w:pPr>
              <w:topLinePunct/>
              <w:spacing w:line="440" w:lineRule="exact"/>
              <w:jc w:val="center"/>
              <w:rPr>
                <w:rFonts w:ascii="Times New Roman" w:hAnsi="Times New Roman"/>
                <w:szCs w:val="21"/>
                <w:highlight w:val="none"/>
              </w:rPr>
            </w:pPr>
            <w:r>
              <w:rPr>
                <w:rFonts w:ascii="Times New Roman" w:hAnsi="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5AAAEAE">
            <w:pPr>
              <w:topLinePunct/>
              <w:spacing w:line="440" w:lineRule="exact"/>
              <w:jc w:val="center"/>
              <w:rPr>
                <w:rFonts w:ascii="Times New Roman" w:hAnsi="Times New Roman"/>
                <w:szCs w:val="21"/>
                <w:highlight w:val="none"/>
              </w:rPr>
            </w:pPr>
          </w:p>
        </w:tc>
      </w:tr>
      <w:tr w14:paraId="51100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C5B2459">
            <w:pPr>
              <w:topLinePunct/>
              <w:spacing w:line="440" w:lineRule="exact"/>
              <w:jc w:val="center"/>
              <w:rPr>
                <w:rFonts w:ascii="Times New Roman" w:hAnsi="Times New Roman"/>
                <w:szCs w:val="21"/>
                <w:highlight w:val="none"/>
              </w:rPr>
            </w:pPr>
            <w:r>
              <w:rPr>
                <w:rFonts w:ascii="Times New Roman" w:hAnsi="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5F91C214">
            <w:pPr>
              <w:topLinePunct/>
              <w:spacing w:line="440" w:lineRule="exact"/>
              <w:jc w:val="center"/>
              <w:rPr>
                <w:rFonts w:ascii="Times New Roman" w:hAnsi="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9B856D0">
            <w:pPr>
              <w:topLinePunct/>
              <w:spacing w:line="440" w:lineRule="exact"/>
              <w:jc w:val="center"/>
              <w:rPr>
                <w:rFonts w:ascii="Times New Roman" w:hAnsi="Times New Roman"/>
                <w:szCs w:val="21"/>
                <w:highlight w:val="none"/>
              </w:rPr>
            </w:pPr>
            <w:r>
              <w:rPr>
                <w:rFonts w:ascii="Times New Roman" w:hAnsi="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30236AD8">
            <w:pPr>
              <w:topLinePunct/>
              <w:spacing w:line="440" w:lineRule="exact"/>
              <w:jc w:val="center"/>
              <w:rPr>
                <w:rFonts w:ascii="Times New Roman" w:hAnsi="Times New Roman"/>
                <w:szCs w:val="21"/>
                <w:highlight w:val="none"/>
              </w:rPr>
            </w:pPr>
          </w:p>
        </w:tc>
      </w:tr>
      <w:tr w14:paraId="33709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62FACB6">
            <w:pPr>
              <w:topLinePunct/>
              <w:spacing w:line="440" w:lineRule="exact"/>
              <w:jc w:val="center"/>
              <w:rPr>
                <w:rFonts w:ascii="Times New Roman" w:hAnsi="Times New Roman"/>
                <w:szCs w:val="21"/>
                <w:highlight w:val="none"/>
              </w:rPr>
            </w:pPr>
            <w:r>
              <w:rPr>
                <w:rFonts w:ascii="Times New Roman" w:hAnsi="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46700C6D">
            <w:pPr>
              <w:topLinePunct/>
              <w:spacing w:line="440" w:lineRule="exact"/>
              <w:jc w:val="center"/>
              <w:rPr>
                <w:rFonts w:ascii="Times New Roman" w:hAnsi="Times New Roman"/>
                <w:szCs w:val="21"/>
                <w:highlight w:val="none"/>
              </w:rPr>
            </w:pPr>
            <w:r>
              <w:rPr>
                <w:rFonts w:ascii="Times New Roman" w:hAnsi="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63495394">
            <w:pPr>
              <w:topLinePunct/>
              <w:spacing w:line="440" w:lineRule="exact"/>
              <w:jc w:val="center"/>
              <w:rPr>
                <w:rFonts w:ascii="Times New Roman" w:hAnsi="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177EC7AF">
            <w:pPr>
              <w:topLinePunct/>
              <w:spacing w:line="440" w:lineRule="exact"/>
              <w:jc w:val="center"/>
              <w:rPr>
                <w:rFonts w:ascii="Times New Roman" w:hAnsi="Times New Roman"/>
                <w:szCs w:val="21"/>
                <w:highlight w:val="none"/>
              </w:rPr>
            </w:pPr>
            <w:r>
              <w:rPr>
                <w:rFonts w:ascii="Times New Roman" w:hAnsi="Times New Roman"/>
                <w:szCs w:val="21"/>
                <w:highlight w:val="none"/>
              </w:rPr>
              <w:t>电</w:t>
            </w:r>
            <w:r>
              <w:rPr>
                <w:rFonts w:hint="eastAsia" w:ascii="Times New Roman" w:hAnsi="Times New Roman"/>
                <w:szCs w:val="21"/>
                <w:highlight w:val="none"/>
              </w:rPr>
              <w:t xml:space="preserve"> </w:t>
            </w:r>
            <w:r>
              <w:rPr>
                <w:rFonts w:ascii="Times New Roman" w:hAnsi="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7B148E24">
            <w:pPr>
              <w:topLinePunct/>
              <w:spacing w:line="440" w:lineRule="exact"/>
              <w:jc w:val="center"/>
              <w:rPr>
                <w:rFonts w:ascii="Times New Roman" w:hAnsi="Times New Roman"/>
                <w:szCs w:val="21"/>
                <w:highlight w:val="none"/>
              </w:rPr>
            </w:pPr>
          </w:p>
        </w:tc>
      </w:tr>
      <w:tr w14:paraId="22938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6C6139B">
            <w:pPr>
              <w:topLinePunct/>
              <w:spacing w:line="440" w:lineRule="exact"/>
              <w:jc w:val="center"/>
              <w:rPr>
                <w:rFonts w:ascii="Times New Roman" w:hAnsi="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1B0936F5">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5694D6D">
            <w:pPr>
              <w:topLinePunct/>
              <w:spacing w:line="440" w:lineRule="exact"/>
              <w:jc w:val="center"/>
              <w:rPr>
                <w:rFonts w:ascii="Times New Roman" w:hAnsi="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D62C542">
            <w:pPr>
              <w:topLinePunct/>
              <w:spacing w:line="440" w:lineRule="exact"/>
              <w:jc w:val="center"/>
              <w:rPr>
                <w:rFonts w:ascii="Times New Roman" w:hAnsi="Times New Roman"/>
                <w:szCs w:val="21"/>
                <w:highlight w:val="none"/>
              </w:rPr>
            </w:pPr>
            <w:r>
              <w:rPr>
                <w:rFonts w:ascii="Times New Roman" w:hAnsi="Times New Roman"/>
                <w:szCs w:val="21"/>
                <w:highlight w:val="none"/>
              </w:rPr>
              <w:t>电子</w:t>
            </w:r>
            <w:r>
              <w:rPr>
                <w:rFonts w:hint="eastAsia" w:ascii="Times New Roman" w:hAnsi="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0976D231">
            <w:pPr>
              <w:topLinePunct/>
              <w:spacing w:line="440" w:lineRule="exact"/>
              <w:jc w:val="center"/>
              <w:rPr>
                <w:rFonts w:ascii="Times New Roman" w:hAnsi="Times New Roman"/>
                <w:szCs w:val="21"/>
                <w:highlight w:val="none"/>
              </w:rPr>
            </w:pPr>
          </w:p>
        </w:tc>
      </w:tr>
      <w:tr w14:paraId="59D96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6619097B">
            <w:pPr>
              <w:topLinePunct/>
              <w:spacing w:line="440" w:lineRule="exact"/>
              <w:jc w:val="center"/>
              <w:rPr>
                <w:rFonts w:ascii="Times New Roman" w:hAnsi="Times New Roman"/>
                <w:szCs w:val="21"/>
                <w:highlight w:val="none"/>
              </w:rPr>
            </w:pPr>
            <w:r>
              <w:rPr>
                <w:rFonts w:ascii="Times New Roman" w:hAnsi="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398C6624">
            <w:pPr>
              <w:topLinePunct/>
              <w:spacing w:line="440" w:lineRule="exact"/>
              <w:jc w:val="center"/>
              <w:rPr>
                <w:rFonts w:ascii="Times New Roman" w:hAnsi="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40FBAA7C">
            <w:pPr>
              <w:topLinePunct/>
              <w:spacing w:line="440" w:lineRule="exact"/>
              <w:jc w:val="center"/>
              <w:rPr>
                <w:rFonts w:ascii="Times New Roman" w:hAnsi="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12D367D8">
            <w:pPr>
              <w:topLinePunct/>
              <w:spacing w:line="440" w:lineRule="exact"/>
              <w:jc w:val="center"/>
              <w:rPr>
                <w:rFonts w:ascii="Times New Roman" w:hAnsi="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03BDD3B3">
            <w:pPr>
              <w:topLinePunct/>
              <w:spacing w:line="440" w:lineRule="exact"/>
              <w:jc w:val="center"/>
              <w:rPr>
                <w:rFonts w:ascii="Times New Roman" w:hAnsi="Times New Roman"/>
                <w:szCs w:val="21"/>
                <w:highlight w:val="none"/>
              </w:rPr>
            </w:pPr>
          </w:p>
        </w:tc>
      </w:tr>
      <w:tr w14:paraId="7C51A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3BD8B46">
            <w:pPr>
              <w:topLinePunct/>
              <w:spacing w:line="440" w:lineRule="exact"/>
              <w:jc w:val="center"/>
              <w:rPr>
                <w:rFonts w:ascii="Times New Roman" w:hAnsi="Times New Roman"/>
                <w:szCs w:val="21"/>
                <w:highlight w:val="none"/>
              </w:rPr>
            </w:pPr>
            <w:r>
              <w:rPr>
                <w:rFonts w:ascii="Times New Roman" w:hAnsi="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450611E">
            <w:pPr>
              <w:topLinePunct/>
              <w:spacing w:line="440" w:lineRule="exact"/>
              <w:jc w:val="center"/>
              <w:rPr>
                <w:rFonts w:ascii="Times New Roman" w:hAnsi="Times New Roman"/>
                <w:szCs w:val="21"/>
                <w:highlight w:val="none"/>
              </w:rPr>
            </w:pPr>
          </w:p>
        </w:tc>
      </w:tr>
      <w:tr w14:paraId="3F5E0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609C24CC">
            <w:pPr>
              <w:topLinePunct/>
              <w:spacing w:line="440" w:lineRule="exact"/>
              <w:jc w:val="center"/>
              <w:rPr>
                <w:rFonts w:ascii="Times New Roman" w:hAnsi="Times New Roman"/>
                <w:szCs w:val="21"/>
                <w:highlight w:val="none"/>
              </w:rPr>
            </w:pPr>
            <w:r>
              <w:rPr>
                <w:rFonts w:ascii="Times New Roman" w:hAnsi="Times New Roman"/>
                <w:szCs w:val="21"/>
                <w:highlight w:val="none"/>
              </w:rPr>
              <w:t>资产构成情况及</w:t>
            </w:r>
            <w:r>
              <w:rPr>
                <w:rFonts w:hint="eastAsia" w:ascii="Times New Roman" w:hAnsi="Times New Roman"/>
                <w:szCs w:val="21"/>
                <w:highlight w:val="none"/>
              </w:rPr>
              <w:t xml:space="preserve"> </w:t>
            </w:r>
            <w:r>
              <w:rPr>
                <w:rFonts w:ascii="Times New Roman" w:hAnsi="Times New Roman"/>
                <w:szCs w:val="21"/>
                <w:highlight w:val="none"/>
              </w:rPr>
              <w:t>投资参股的</w:t>
            </w:r>
            <w:r>
              <w:rPr>
                <w:rFonts w:hint="eastAsia" w:ascii="Times New Roman" w:hAnsi="Times New Roman"/>
                <w:szCs w:val="21"/>
                <w:highlight w:val="none"/>
              </w:rPr>
              <w:t xml:space="preserve"> </w:t>
            </w:r>
            <w:r>
              <w:rPr>
                <w:rFonts w:ascii="Times New Roman" w:hAnsi="Times New Roman"/>
                <w:szCs w:val="21"/>
                <w:highlight w:val="none"/>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95DF2A6">
            <w:pPr>
              <w:topLinePunct/>
              <w:spacing w:line="440" w:lineRule="exact"/>
              <w:rPr>
                <w:rFonts w:ascii="Times New Roman" w:hAnsi="Times New Roman"/>
                <w:szCs w:val="21"/>
                <w:highlight w:val="none"/>
              </w:rPr>
            </w:pPr>
          </w:p>
          <w:p w14:paraId="7C1AB802">
            <w:pPr>
              <w:topLinePunct/>
              <w:spacing w:line="440" w:lineRule="exact"/>
              <w:jc w:val="center"/>
              <w:rPr>
                <w:rFonts w:ascii="Times New Roman" w:hAnsi="Times New Roman"/>
                <w:szCs w:val="21"/>
                <w:highlight w:val="none"/>
              </w:rPr>
            </w:pPr>
          </w:p>
          <w:p w14:paraId="480D9D27">
            <w:pPr>
              <w:topLinePunct/>
              <w:spacing w:line="440" w:lineRule="exact"/>
              <w:rPr>
                <w:rFonts w:ascii="Times New Roman" w:hAnsi="Times New Roman"/>
                <w:szCs w:val="21"/>
                <w:highlight w:val="none"/>
              </w:rPr>
            </w:pPr>
          </w:p>
        </w:tc>
      </w:tr>
      <w:tr w14:paraId="57C95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2E896479">
            <w:pPr>
              <w:topLinePunct/>
              <w:spacing w:line="440" w:lineRule="exact"/>
              <w:jc w:val="center"/>
              <w:rPr>
                <w:rFonts w:ascii="Times New Roman" w:hAnsi="Times New Roman"/>
                <w:szCs w:val="21"/>
                <w:highlight w:val="none"/>
              </w:rPr>
            </w:pPr>
            <w:r>
              <w:rPr>
                <w:rFonts w:ascii="Times New Roman" w:hAnsi="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3720F09">
            <w:pPr>
              <w:topLinePunct/>
              <w:spacing w:line="440" w:lineRule="exact"/>
              <w:jc w:val="center"/>
              <w:rPr>
                <w:rFonts w:ascii="Times New Roman" w:hAnsi="Times New Roman"/>
                <w:szCs w:val="21"/>
                <w:highlight w:val="none"/>
              </w:rPr>
            </w:pPr>
          </w:p>
        </w:tc>
      </w:tr>
    </w:tbl>
    <w:p w14:paraId="44ECFFA1">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23921BE8">
      <w:pPr>
        <w:widowControl/>
        <w:autoSpaceDE w:val="0"/>
        <w:autoSpaceDN w:val="0"/>
        <w:spacing w:line="360" w:lineRule="atLeast"/>
        <w:textAlignment w:val="bottom"/>
        <w:rPr>
          <w:rFonts w:ascii="Times New Roman" w:hAnsi="Times New Roman" w:eastAsia="黑体" w:cs="Times New Roman"/>
          <w:szCs w:val="21"/>
          <w:highlight w:val="none"/>
        </w:rPr>
      </w:pPr>
      <w:r>
        <w:rPr>
          <w:rFonts w:hint="eastAsia" w:ascii="仿宋_GB2312" w:eastAsia="仿宋_GB2312" w:cs="Times New Roman" w:hAnsiTheme="minorEastAsia"/>
          <w:sz w:val="20"/>
          <w:szCs w:val="20"/>
          <w:highlight w:val="none"/>
        </w:rPr>
        <w:t>1.在本表后应附企业法人营业执照、资质证书（如有）及资格审查要求的其他证件复印件</w:t>
      </w:r>
      <w:r>
        <w:rPr>
          <w:rFonts w:ascii="Times New Roman" w:hAnsi="Times New Roman" w:eastAsia="黑体" w:cs="Times New Roman"/>
          <w:szCs w:val="21"/>
          <w:highlight w:val="none"/>
        </w:rPr>
        <w:t>。</w:t>
      </w:r>
    </w:p>
    <w:p w14:paraId="73AD7FFC">
      <w:pPr>
        <w:pStyle w:val="9"/>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2.如近年来，供应商法人机构发生合法变更或重组或法人名称变更时，应提供相关部门的合法批件或其他相关证明材料来证明其所附业绩的继承性</w:t>
      </w:r>
      <w:r>
        <w:rPr>
          <w:rFonts w:hint="eastAsia" w:ascii="Times New Roman" w:hAnsi="Times New Roman" w:eastAsia="黑体" w:cs="Times New Roman"/>
          <w:szCs w:val="21"/>
          <w:highlight w:val="none"/>
        </w:rPr>
        <w:t>。</w:t>
      </w:r>
    </w:p>
    <w:p w14:paraId="23A760DC">
      <w:pPr>
        <w:widowControl/>
        <w:autoSpaceDE w:val="0"/>
        <w:autoSpaceDN w:val="0"/>
        <w:spacing w:line="360" w:lineRule="atLeast"/>
        <w:ind w:left="420" w:leftChars="200"/>
        <w:textAlignment w:val="bottom"/>
        <w:rPr>
          <w:rFonts w:ascii="Times New Roman" w:hAnsi="Times New Roman" w:eastAsia="黑体"/>
          <w:szCs w:val="21"/>
          <w:highlight w:val="none"/>
        </w:rPr>
      </w:pPr>
    </w:p>
    <w:p w14:paraId="440862B8">
      <w:pPr>
        <w:widowControl/>
        <w:rPr>
          <w:rFonts w:ascii="Times New Roman" w:hAnsi="Times New Roman" w:eastAsia="黑体"/>
          <w:szCs w:val="21"/>
          <w:highlight w:val="none"/>
        </w:rPr>
      </w:pPr>
      <w:r>
        <w:rPr>
          <w:rFonts w:ascii="Times New Roman" w:hAnsi="Times New Roman" w:eastAsia="黑体"/>
          <w:szCs w:val="21"/>
          <w:highlight w:val="none"/>
        </w:rPr>
        <w:br w:type="page"/>
      </w:r>
    </w:p>
    <w:p w14:paraId="2449B7E5">
      <w:pPr>
        <w:pStyle w:val="10"/>
        <w:spacing w:line="240" w:lineRule="atLeast"/>
        <w:ind w:left="560" w:leftChars="0" w:right="-512" w:rightChars="-244" w:hanging="560" w:hangingChars="200"/>
        <w:jc w:val="center"/>
        <w:rPr>
          <w:rFonts w:ascii="Times New Roman" w:hAnsi="Times New Roman"/>
          <w:sz w:val="28"/>
          <w:szCs w:val="28"/>
          <w:highlight w:val="none"/>
        </w:rPr>
      </w:pPr>
      <w:bookmarkStart w:id="213" w:name="_Toc18547_WPSOffice_Level1"/>
      <w:bookmarkStart w:id="214" w:name="_Toc3772_WPSOffice_Level1"/>
      <w:bookmarkStart w:id="215" w:name="_Toc19004_WPSOffice_Level1"/>
      <w:bookmarkStart w:id="216" w:name="_Toc1452_WPSOffice_Level1"/>
      <w:bookmarkStart w:id="217" w:name="_Toc14534_WPSOffice_Level1"/>
      <w:bookmarkStart w:id="218" w:name="_Toc5072_WPSOffice_Level1"/>
      <w:bookmarkStart w:id="219" w:name="_Toc23822_WPSOffice_Level1"/>
      <w:r>
        <w:rPr>
          <w:rFonts w:hint="eastAsia" w:ascii="Times New Roman" w:hAnsi="Times New Roman" w:eastAsia="黑体"/>
          <w:sz w:val="28"/>
          <w:szCs w:val="28"/>
          <w:highlight w:val="none"/>
        </w:rPr>
        <w:t>五</w:t>
      </w:r>
      <w:r>
        <w:rPr>
          <w:rFonts w:ascii="Times New Roman" w:hAnsi="Times New Roman" w:eastAsia="黑体"/>
          <w:sz w:val="28"/>
          <w:szCs w:val="28"/>
          <w:highlight w:val="none"/>
        </w:rPr>
        <w:t>、近年类似业绩情况</w:t>
      </w:r>
      <w:bookmarkEnd w:id="213"/>
      <w:bookmarkEnd w:id="214"/>
      <w:bookmarkEnd w:id="215"/>
      <w:bookmarkEnd w:id="216"/>
      <w:bookmarkEnd w:id="217"/>
      <w:bookmarkEnd w:id="218"/>
      <w:bookmarkEnd w:id="219"/>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ADB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60FDA78D">
            <w:pPr>
              <w:topLinePunct/>
              <w:spacing w:line="440" w:lineRule="exact"/>
              <w:jc w:val="center"/>
              <w:rPr>
                <w:rFonts w:ascii="Times New Roman" w:hAnsi="Times New Roman"/>
                <w:szCs w:val="21"/>
                <w:highlight w:val="none"/>
              </w:rPr>
            </w:pPr>
            <w:r>
              <w:rPr>
                <w:rFonts w:ascii="Times New Roman" w:hAnsi="Times New Roman"/>
                <w:szCs w:val="21"/>
                <w:highlight w:val="none"/>
              </w:rPr>
              <w:t>项目名称</w:t>
            </w:r>
          </w:p>
        </w:tc>
        <w:tc>
          <w:tcPr>
            <w:tcW w:w="6258" w:type="dxa"/>
          </w:tcPr>
          <w:p w14:paraId="7A81E9CA">
            <w:pPr>
              <w:topLinePunct/>
              <w:spacing w:line="440" w:lineRule="exact"/>
              <w:rPr>
                <w:rFonts w:ascii="Times New Roman" w:hAnsi="Times New Roman"/>
                <w:szCs w:val="21"/>
                <w:highlight w:val="none"/>
              </w:rPr>
            </w:pPr>
          </w:p>
        </w:tc>
      </w:tr>
      <w:tr w14:paraId="4EE5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24F23F3C">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供货地点</w:t>
            </w:r>
          </w:p>
        </w:tc>
        <w:tc>
          <w:tcPr>
            <w:tcW w:w="6258" w:type="dxa"/>
          </w:tcPr>
          <w:p w14:paraId="271AA839">
            <w:pPr>
              <w:topLinePunct/>
              <w:spacing w:line="440" w:lineRule="exact"/>
              <w:rPr>
                <w:rFonts w:ascii="Times New Roman" w:hAnsi="Times New Roman"/>
                <w:szCs w:val="21"/>
                <w:highlight w:val="none"/>
              </w:rPr>
            </w:pPr>
          </w:p>
        </w:tc>
      </w:tr>
      <w:tr w14:paraId="30B9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71121A9C">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业主</w:t>
            </w:r>
            <w:r>
              <w:rPr>
                <w:rFonts w:ascii="Times New Roman" w:hAnsi="Times New Roman"/>
                <w:szCs w:val="21"/>
                <w:highlight w:val="none"/>
              </w:rPr>
              <w:t>名称</w:t>
            </w:r>
          </w:p>
        </w:tc>
        <w:tc>
          <w:tcPr>
            <w:tcW w:w="6258" w:type="dxa"/>
          </w:tcPr>
          <w:p w14:paraId="35628C26">
            <w:pPr>
              <w:topLinePunct/>
              <w:spacing w:line="440" w:lineRule="exact"/>
              <w:rPr>
                <w:rFonts w:ascii="Times New Roman" w:hAnsi="Times New Roman"/>
                <w:szCs w:val="21"/>
                <w:highlight w:val="none"/>
              </w:rPr>
            </w:pPr>
          </w:p>
        </w:tc>
      </w:tr>
      <w:tr w14:paraId="7436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276B0381">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业主</w:t>
            </w:r>
            <w:r>
              <w:rPr>
                <w:rFonts w:ascii="Times New Roman" w:hAnsi="Times New Roman"/>
                <w:szCs w:val="21"/>
                <w:highlight w:val="none"/>
              </w:rPr>
              <w:t>地址</w:t>
            </w:r>
          </w:p>
        </w:tc>
        <w:tc>
          <w:tcPr>
            <w:tcW w:w="6258" w:type="dxa"/>
          </w:tcPr>
          <w:p w14:paraId="0EC9F2FC">
            <w:pPr>
              <w:topLinePunct/>
              <w:spacing w:line="440" w:lineRule="exact"/>
              <w:rPr>
                <w:rFonts w:ascii="Times New Roman" w:hAnsi="Times New Roman"/>
                <w:szCs w:val="21"/>
                <w:highlight w:val="none"/>
              </w:rPr>
            </w:pPr>
          </w:p>
        </w:tc>
      </w:tr>
      <w:tr w14:paraId="0D72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56066C92">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业主</w:t>
            </w:r>
            <w:r>
              <w:rPr>
                <w:rFonts w:ascii="Times New Roman" w:hAnsi="Times New Roman"/>
                <w:szCs w:val="21"/>
                <w:highlight w:val="none"/>
              </w:rPr>
              <w:t>电话</w:t>
            </w:r>
          </w:p>
        </w:tc>
        <w:tc>
          <w:tcPr>
            <w:tcW w:w="6258" w:type="dxa"/>
          </w:tcPr>
          <w:p w14:paraId="110A8D7E">
            <w:pPr>
              <w:topLinePunct/>
              <w:spacing w:line="440" w:lineRule="exact"/>
              <w:rPr>
                <w:rFonts w:ascii="Times New Roman" w:hAnsi="Times New Roman"/>
                <w:szCs w:val="21"/>
                <w:highlight w:val="none"/>
              </w:rPr>
            </w:pPr>
          </w:p>
        </w:tc>
      </w:tr>
      <w:tr w14:paraId="42D8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479613DD">
            <w:pPr>
              <w:topLinePunct/>
              <w:spacing w:line="440" w:lineRule="exact"/>
              <w:jc w:val="center"/>
              <w:rPr>
                <w:rFonts w:ascii="Times New Roman" w:hAnsi="Times New Roman"/>
                <w:szCs w:val="21"/>
                <w:highlight w:val="none"/>
              </w:rPr>
            </w:pPr>
            <w:r>
              <w:rPr>
                <w:rFonts w:ascii="Times New Roman" w:hAnsi="Times New Roman"/>
                <w:szCs w:val="21"/>
                <w:highlight w:val="none"/>
              </w:rPr>
              <w:t>合同价格</w:t>
            </w:r>
          </w:p>
        </w:tc>
        <w:tc>
          <w:tcPr>
            <w:tcW w:w="6258" w:type="dxa"/>
          </w:tcPr>
          <w:p w14:paraId="47F71620">
            <w:pPr>
              <w:topLinePunct/>
              <w:spacing w:line="440" w:lineRule="exact"/>
              <w:rPr>
                <w:rFonts w:ascii="Times New Roman" w:hAnsi="Times New Roman"/>
                <w:szCs w:val="21"/>
                <w:highlight w:val="none"/>
              </w:rPr>
            </w:pPr>
          </w:p>
        </w:tc>
      </w:tr>
      <w:tr w14:paraId="75B6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6928545C">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供货期</w:t>
            </w:r>
          </w:p>
        </w:tc>
        <w:tc>
          <w:tcPr>
            <w:tcW w:w="6258" w:type="dxa"/>
          </w:tcPr>
          <w:p w14:paraId="26ED44ED">
            <w:pPr>
              <w:topLinePunct/>
              <w:spacing w:line="440" w:lineRule="exact"/>
              <w:rPr>
                <w:rFonts w:ascii="Times New Roman" w:hAnsi="Times New Roman"/>
                <w:szCs w:val="21"/>
                <w:highlight w:val="none"/>
              </w:rPr>
            </w:pPr>
          </w:p>
        </w:tc>
      </w:tr>
      <w:tr w14:paraId="5626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48A89500">
            <w:pPr>
              <w:topLinePunct/>
              <w:spacing w:line="440" w:lineRule="exact"/>
              <w:jc w:val="center"/>
              <w:rPr>
                <w:rFonts w:ascii="Times New Roman" w:hAnsi="Times New Roman"/>
                <w:szCs w:val="21"/>
                <w:highlight w:val="none"/>
              </w:rPr>
            </w:pPr>
            <w:r>
              <w:rPr>
                <w:rFonts w:hint="eastAsia" w:ascii="Times New Roman" w:hAnsi="Times New Roman"/>
                <w:szCs w:val="21"/>
                <w:highlight w:val="none"/>
              </w:rPr>
              <w:t>供货型号及数量</w:t>
            </w:r>
          </w:p>
        </w:tc>
        <w:tc>
          <w:tcPr>
            <w:tcW w:w="6258" w:type="dxa"/>
          </w:tcPr>
          <w:p w14:paraId="5C05D584">
            <w:pPr>
              <w:topLinePunct/>
              <w:spacing w:line="440" w:lineRule="exact"/>
              <w:rPr>
                <w:rFonts w:ascii="Times New Roman" w:hAnsi="Times New Roman"/>
                <w:szCs w:val="21"/>
                <w:highlight w:val="none"/>
              </w:rPr>
            </w:pPr>
          </w:p>
        </w:tc>
      </w:tr>
      <w:tr w14:paraId="018A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3EB7A377">
            <w:pPr>
              <w:topLinePunct/>
              <w:spacing w:line="440" w:lineRule="exact"/>
              <w:jc w:val="center"/>
              <w:rPr>
                <w:rFonts w:ascii="Times New Roman" w:hAnsi="Times New Roman"/>
                <w:szCs w:val="21"/>
                <w:highlight w:val="none"/>
              </w:rPr>
            </w:pPr>
            <w:r>
              <w:rPr>
                <w:rFonts w:ascii="Times New Roman" w:hAnsi="Times New Roman"/>
                <w:szCs w:val="21"/>
                <w:highlight w:val="none"/>
              </w:rPr>
              <w:t>项目描述</w:t>
            </w:r>
          </w:p>
        </w:tc>
        <w:tc>
          <w:tcPr>
            <w:tcW w:w="6258" w:type="dxa"/>
          </w:tcPr>
          <w:p w14:paraId="3114ABC0">
            <w:pPr>
              <w:topLinePunct/>
              <w:spacing w:line="440" w:lineRule="exact"/>
              <w:rPr>
                <w:rFonts w:ascii="Times New Roman" w:hAnsi="Times New Roman"/>
                <w:szCs w:val="21"/>
                <w:highlight w:val="none"/>
              </w:rPr>
            </w:pPr>
          </w:p>
        </w:tc>
      </w:tr>
      <w:tr w14:paraId="5937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45B20248">
            <w:pPr>
              <w:topLinePunct/>
              <w:spacing w:line="440" w:lineRule="exact"/>
              <w:jc w:val="center"/>
              <w:rPr>
                <w:rFonts w:ascii="Times New Roman" w:hAnsi="Times New Roman"/>
                <w:szCs w:val="21"/>
                <w:highlight w:val="none"/>
              </w:rPr>
            </w:pPr>
            <w:r>
              <w:rPr>
                <w:rFonts w:ascii="Times New Roman" w:hAnsi="Times New Roman"/>
                <w:szCs w:val="21"/>
                <w:highlight w:val="none"/>
              </w:rPr>
              <w:t>备注</w:t>
            </w:r>
          </w:p>
        </w:tc>
        <w:tc>
          <w:tcPr>
            <w:tcW w:w="6258" w:type="dxa"/>
          </w:tcPr>
          <w:p w14:paraId="6694FDF3">
            <w:pPr>
              <w:topLinePunct/>
              <w:spacing w:line="440" w:lineRule="exact"/>
              <w:rPr>
                <w:rFonts w:ascii="Times New Roman" w:hAnsi="Times New Roman"/>
                <w:szCs w:val="21"/>
                <w:highlight w:val="none"/>
              </w:rPr>
            </w:pPr>
          </w:p>
        </w:tc>
      </w:tr>
    </w:tbl>
    <w:p w14:paraId="30645F65">
      <w:pPr>
        <w:pStyle w:val="9"/>
        <w:spacing w:after="0"/>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15AC60E3">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1.每张表格只填写一个项目，并标明序号。</w:t>
      </w:r>
    </w:p>
    <w:p w14:paraId="110DAAFA">
      <w:pPr>
        <w:widowControl/>
        <w:jc w:val="left"/>
        <w:rPr>
          <w:rFonts w:hint="eastAsia" w:ascii="仿宋_GB2312" w:eastAsia="仿宋_GB2312" w:cs="Times New Roman" w:hAnsiTheme="minorEastAsia"/>
          <w:sz w:val="20"/>
          <w:szCs w:val="20"/>
          <w:highlight w:val="none"/>
        </w:rPr>
      </w:pPr>
      <w:bookmarkStart w:id="220" w:name="_Hlk126082493"/>
      <w:r>
        <w:rPr>
          <w:rFonts w:hint="eastAsia" w:ascii="仿宋_GB2312" w:eastAsia="仿宋_GB2312" w:cs="Times New Roman" w:hAnsiTheme="minorEastAsia"/>
          <w:sz w:val="20"/>
          <w:szCs w:val="20"/>
          <w:highlight w:val="none"/>
        </w:rPr>
        <w:t>2.</w:t>
      </w:r>
      <w:r>
        <w:rPr>
          <w:rFonts w:hint="eastAsia"/>
          <w:highlight w:val="none"/>
        </w:rPr>
        <w:t xml:space="preserve"> </w:t>
      </w:r>
      <w:r>
        <w:rPr>
          <w:rFonts w:hint="eastAsia" w:ascii="仿宋_GB2312" w:eastAsia="仿宋_GB2312" w:cs="Times New Roman" w:hAnsiTheme="minorEastAsia"/>
          <w:sz w:val="20"/>
          <w:szCs w:val="20"/>
          <w:highlight w:val="none"/>
        </w:rPr>
        <w:t>业绩证明材料要求：近2年（指合同签订时间为202</w:t>
      </w:r>
      <w:r>
        <w:rPr>
          <w:rFonts w:hint="eastAsia" w:ascii="仿宋_GB2312" w:eastAsia="仿宋_GB2312" w:cs="Times New Roman" w:hAnsiTheme="minorEastAsia"/>
          <w:sz w:val="20"/>
          <w:szCs w:val="20"/>
          <w:highlight w:val="none"/>
          <w:lang w:val="en-US" w:eastAsia="zh-CN"/>
        </w:rPr>
        <w:t>3</w:t>
      </w:r>
      <w:r>
        <w:rPr>
          <w:rFonts w:hint="eastAsia" w:ascii="仿宋_GB2312" w:eastAsia="仿宋_GB2312" w:cs="Times New Roman" w:hAnsiTheme="minorEastAsia"/>
          <w:sz w:val="20"/>
          <w:szCs w:val="20"/>
          <w:highlight w:val="none"/>
        </w:rPr>
        <w:t>年</w:t>
      </w:r>
      <w:r>
        <w:rPr>
          <w:rFonts w:hint="eastAsia" w:ascii="仿宋_GB2312" w:eastAsia="仿宋_GB2312" w:cs="Times New Roman" w:hAnsiTheme="minorEastAsia"/>
          <w:sz w:val="20"/>
          <w:szCs w:val="20"/>
          <w:highlight w:val="none"/>
          <w:lang w:val="en-US" w:eastAsia="zh-CN"/>
        </w:rPr>
        <w:t>7</w:t>
      </w:r>
      <w:r>
        <w:rPr>
          <w:rFonts w:hint="eastAsia" w:ascii="仿宋_GB2312" w:eastAsia="仿宋_GB2312" w:cs="Times New Roman" w:hAnsiTheme="minorEastAsia"/>
          <w:sz w:val="20"/>
          <w:szCs w:val="20"/>
          <w:highlight w:val="none"/>
        </w:rPr>
        <w:t>月1日至响应文件递交截止日期之间）具备房地产礼品</w:t>
      </w:r>
      <w:r>
        <w:rPr>
          <w:rFonts w:hint="eastAsia" w:ascii="仿宋_GB2312" w:eastAsia="仿宋_GB2312" w:cs="Times New Roman" w:hAnsiTheme="minorEastAsia"/>
          <w:sz w:val="20"/>
          <w:szCs w:val="20"/>
          <w:highlight w:val="none"/>
          <w:lang w:val="en-US" w:eastAsia="zh-CN"/>
        </w:rPr>
        <w:t>采购</w:t>
      </w:r>
      <w:r>
        <w:rPr>
          <w:rFonts w:hint="eastAsia" w:ascii="仿宋_GB2312" w:eastAsia="仿宋_GB2312" w:cs="Times New Roman" w:hAnsiTheme="minorEastAsia"/>
          <w:sz w:val="20"/>
          <w:szCs w:val="20"/>
          <w:highlight w:val="none"/>
        </w:rPr>
        <w:t>业绩。需要提供不少于1个业绩证明，业绩证明以合同时间为准。</w:t>
      </w:r>
      <w:bookmarkEnd w:id="220"/>
    </w:p>
    <w:p w14:paraId="58482643">
      <w:pPr>
        <w:pStyle w:val="9"/>
        <w:rPr>
          <w:rFonts w:ascii="Times New Roman" w:hAnsi="Times New Roman"/>
          <w:highlight w:val="none"/>
        </w:rPr>
      </w:pPr>
    </w:p>
    <w:p w14:paraId="1C7FF945">
      <w:pPr>
        <w:topLinePunct/>
        <w:spacing w:line="340" w:lineRule="atLeast"/>
        <w:jc w:val="center"/>
        <w:rPr>
          <w:rFonts w:ascii="Times New Roman" w:hAnsi="Times New Roman" w:eastAsia="黑体"/>
          <w:sz w:val="24"/>
          <w:highlight w:val="none"/>
        </w:rPr>
      </w:pPr>
      <w:r>
        <w:rPr>
          <w:rFonts w:ascii="Times New Roman" w:hAnsi="Times New Roman" w:eastAsia="黑体"/>
          <w:sz w:val="28"/>
          <w:szCs w:val="28"/>
          <w:highlight w:val="none"/>
        </w:rPr>
        <w:br w:type="page"/>
      </w:r>
    </w:p>
    <w:p w14:paraId="401B7950">
      <w:pPr>
        <w:widowControl/>
        <w:spacing w:line="440" w:lineRule="exact"/>
        <w:jc w:val="center"/>
        <w:outlineLvl w:val="1"/>
        <w:rPr>
          <w:rFonts w:ascii="Times New Roman" w:hAnsi="Times New Roman" w:eastAsia="黑体" w:cs="Times New Roman"/>
          <w:sz w:val="28"/>
          <w:szCs w:val="28"/>
          <w:highlight w:val="none"/>
        </w:rPr>
      </w:pPr>
      <w:bookmarkStart w:id="221" w:name="_Toc3893_WPSOffice_Level1"/>
      <w:bookmarkStart w:id="222" w:name="_Toc9267_WPSOffice_Level1"/>
      <w:bookmarkStart w:id="223" w:name="_Toc12019_WPSOffice_Level1"/>
      <w:bookmarkStart w:id="224" w:name="_Toc9011_WPSOffice_Level1"/>
      <w:bookmarkStart w:id="225" w:name="_Toc5403_WPSOffice_Level1"/>
      <w:bookmarkStart w:id="226" w:name="_Toc30712_WPSOffice_Level1"/>
      <w:bookmarkStart w:id="227" w:name="_Toc11841_WPSOffice_Level1"/>
      <w:r>
        <w:rPr>
          <w:rFonts w:hint="eastAsia" w:ascii="Times New Roman" w:hAnsi="Times New Roman" w:eastAsia="黑体"/>
          <w:sz w:val="28"/>
          <w:szCs w:val="28"/>
          <w:highlight w:val="none"/>
        </w:rPr>
        <w:t>六</w:t>
      </w:r>
      <w:r>
        <w:rPr>
          <w:rFonts w:ascii="Times New Roman" w:hAnsi="Times New Roman" w:eastAsia="黑体"/>
          <w:sz w:val="28"/>
          <w:szCs w:val="28"/>
          <w:highlight w:val="none"/>
        </w:rPr>
        <w:t>、</w:t>
      </w:r>
      <w:bookmarkStart w:id="228" w:name="_Toc27991_WPSOffice_Level2"/>
      <w:bookmarkStart w:id="229" w:name="_Toc30425_WPSOffice_Level2"/>
      <w:bookmarkStart w:id="230" w:name="_Toc24000_WPSOffice_Level2"/>
      <w:bookmarkStart w:id="231" w:name="_Toc14274_WPSOffice_Level2"/>
      <w:r>
        <w:rPr>
          <w:rFonts w:ascii="Times New Roman" w:hAnsi="Times New Roman" w:eastAsia="黑体" w:cs="Times New Roman"/>
          <w:sz w:val="28"/>
          <w:szCs w:val="28"/>
          <w:highlight w:val="none"/>
        </w:rPr>
        <w:t>拟委任的</w:t>
      </w:r>
      <w:r>
        <w:rPr>
          <w:rFonts w:hint="eastAsia" w:ascii="Times New Roman" w:hAnsi="Times New Roman" w:eastAsia="黑体" w:cs="Times New Roman"/>
          <w:sz w:val="28"/>
          <w:szCs w:val="28"/>
          <w:highlight w:val="none"/>
        </w:rPr>
        <w:t>主要</w:t>
      </w:r>
      <w:bookmarkEnd w:id="228"/>
      <w:r>
        <w:rPr>
          <w:rFonts w:hint="eastAsia" w:ascii="Times New Roman" w:hAnsi="Times New Roman" w:eastAsia="黑体" w:cs="Times New Roman"/>
          <w:sz w:val="28"/>
          <w:szCs w:val="28"/>
          <w:highlight w:val="none"/>
        </w:rPr>
        <w:t>人员</w:t>
      </w:r>
      <w:bookmarkEnd w:id="229"/>
      <w:bookmarkEnd w:id="230"/>
      <w:bookmarkEnd w:id="231"/>
    </w:p>
    <w:p w14:paraId="0E0AF92D">
      <w:pPr>
        <w:pStyle w:val="9"/>
        <w:widowControl/>
        <w:autoSpaceDE w:val="0"/>
        <w:autoSpaceDN w:val="0"/>
        <w:spacing w:line="360" w:lineRule="atLeast"/>
        <w:ind w:left="180"/>
        <w:jc w:val="center"/>
        <w:textAlignment w:val="bottom"/>
        <w:rPr>
          <w:rFonts w:ascii="Times New Roman" w:hAnsi="Times New Roman" w:eastAsia="黑体" w:cs="Times New Roman"/>
          <w:sz w:val="28"/>
          <w:szCs w:val="28"/>
          <w:highlight w:val="none"/>
        </w:rPr>
      </w:pPr>
      <w:bookmarkStart w:id="232" w:name="_Toc6185_WPSOffice_Level2"/>
      <w:bookmarkStart w:id="233" w:name="_Toc24686_WPSOffice_Level2"/>
      <w:r>
        <w:rPr>
          <w:rFonts w:ascii="Times New Roman" w:hAnsi="Times New Roman" w:eastAsia="黑体" w:cs="Times New Roman"/>
          <w:sz w:val="28"/>
          <w:szCs w:val="28"/>
          <w:highlight w:val="none"/>
        </w:rPr>
        <w:t>拟委任的</w:t>
      </w:r>
      <w:r>
        <w:rPr>
          <w:rFonts w:hint="eastAsia" w:ascii="Times New Roman" w:hAnsi="Times New Roman" w:eastAsia="黑体" w:cs="Times New Roman"/>
          <w:sz w:val="28"/>
          <w:szCs w:val="28"/>
          <w:highlight w:val="none"/>
        </w:rPr>
        <w:t>主要人员</w:t>
      </w:r>
      <w:r>
        <w:rPr>
          <w:rFonts w:ascii="Times New Roman" w:hAnsi="Times New Roman" w:eastAsia="黑体" w:cs="Times New Roman"/>
          <w:sz w:val="28"/>
          <w:szCs w:val="28"/>
          <w:highlight w:val="none"/>
        </w:rPr>
        <w:t>资历表</w:t>
      </w:r>
      <w:bookmarkEnd w:id="232"/>
      <w:bookmarkEnd w:id="233"/>
    </w:p>
    <w:tbl>
      <w:tblPr>
        <w:tblStyle w:val="1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27AE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13AD88AA">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姓    名</w:t>
            </w:r>
          </w:p>
        </w:tc>
        <w:tc>
          <w:tcPr>
            <w:tcW w:w="1440" w:type="dxa"/>
            <w:gridSpan w:val="2"/>
            <w:vAlign w:val="center"/>
          </w:tcPr>
          <w:p w14:paraId="03609E87">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016" w:type="dxa"/>
            <w:vAlign w:val="center"/>
          </w:tcPr>
          <w:p w14:paraId="2CAE606F">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年    龄</w:t>
            </w:r>
          </w:p>
        </w:tc>
        <w:tc>
          <w:tcPr>
            <w:tcW w:w="1322" w:type="dxa"/>
            <w:vAlign w:val="center"/>
          </w:tcPr>
          <w:p w14:paraId="38B64F6D">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01" w:type="dxa"/>
            <w:gridSpan w:val="2"/>
            <w:vAlign w:val="center"/>
          </w:tcPr>
          <w:p w14:paraId="4511DEEA">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专    业</w:t>
            </w:r>
          </w:p>
        </w:tc>
        <w:tc>
          <w:tcPr>
            <w:tcW w:w="1598" w:type="dxa"/>
            <w:gridSpan w:val="2"/>
            <w:vAlign w:val="center"/>
          </w:tcPr>
          <w:p w14:paraId="59A19A70">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0194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6FBB6E41">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职    称</w:t>
            </w:r>
          </w:p>
        </w:tc>
        <w:tc>
          <w:tcPr>
            <w:tcW w:w="1440" w:type="dxa"/>
            <w:gridSpan w:val="2"/>
            <w:vAlign w:val="center"/>
          </w:tcPr>
          <w:p w14:paraId="0481B1CC">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016" w:type="dxa"/>
            <w:vAlign w:val="center"/>
          </w:tcPr>
          <w:p w14:paraId="7E8E8E16">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职    务</w:t>
            </w:r>
          </w:p>
        </w:tc>
        <w:tc>
          <w:tcPr>
            <w:tcW w:w="1322" w:type="dxa"/>
            <w:vAlign w:val="center"/>
          </w:tcPr>
          <w:p w14:paraId="3DEDDDED">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01" w:type="dxa"/>
            <w:gridSpan w:val="2"/>
            <w:vAlign w:val="center"/>
          </w:tcPr>
          <w:p w14:paraId="6967915B">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拟在本项目</w:t>
            </w:r>
          </w:p>
          <w:p w14:paraId="45403C1B">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担任职务</w:t>
            </w:r>
          </w:p>
        </w:tc>
        <w:tc>
          <w:tcPr>
            <w:tcW w:w="1598" w:type="dxa"/>
            <w:gridSpan w:val="2"/>
            <w:vAlign w:val="center"/>
          </w:tcPr>
          <w:p w14:paraId="4C4EAECD">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04FE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432BDE5D">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经              历</w:t>
            </w:r>
          </w:p>
        </w:tc>
      </w:tr>
      <w:tr w14:paraId="0679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31ED34AA">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__年~__年</w:t>
            </w:r>
          </w:p>
        </w:tc>
        <w:tc>
          <w:tcPr>
            <w:tcW w:w="4053" w:type="dxa"/>
            <w:gridSpan w:val="4"/>
            <w:vAlign w:val="center"/>
          </w:tcPr>
          <w:p w14:paraId="740A3173">
            <w:pPr>
              <w:pStyle w:val="31"/>
              <w:widowControl/>
              <w:adjustRightInd/>
              <w:snapToGrid/>
              <w:spacing w:before="40" w:after="40" w:line="280" w:lineRule="atLeast"/>
              <w:textAlignment w:val="bottom"/>
              <w:rPr>
                <w:rFonts w:ascii="Times New Roman" w:hAnsi="Times New Roman" w:cs="Times New Roman"/>
                <w:spacing w:val="0"/>
                <w:kern w:val="2"/>
                <w:szCs w:val="21"/>
                <w:highlight w:val="none"/>
              </w:rPr>
            </w:pPr>
            <w:r>
              <w:rPr>
                <w:rFonts w:ascii="Times New Roman" w:hAnsi="Times New Roman" w:cs="Times New Roman"/>
                <w:spacing w:val="0"/>
                <w:kern w:val="2"/>
                <w:szCs w:val="21"/>
                <w:highlight w:val="none"/>
              </w:rPr>
              <w:t>参加过的</w:t>
            </w:r>
            <w:r>
              <w:rPr>
                <w:rFonts w:hint="eastAsia" w:ascii="Times New Roman" w:hAnsi="Times New Roman" w:cs="Times New Roman"/>
                <w:spacing w:val="0"/>
                <w:kern w:val="2"/>
                <w:szCs w:val="21"/>
                <w:highlight w:val="none"/>
              </w:rPr>
              <w:t>类似</w:t>
            </w:r>
            <w:r>
              <w:rPr>
                <w:rFonts w:ascii="Times New Roman" w:hAnsi="Times New Roman" w:cs="Times New Roman"/>
                <w:spacing w:val="0"/>
                <w:kern w:val="2"/>
                <w:szCs w:val="21"/>
                <w:highlight w:val="none"/>
              </w:rPr>
              <w:t>项目名称</w:t>
            </w:r>
          </w:p>
        </w:tc>
        <w:tc>
          <w:tcPr>
            <w:tcW w:w="1847" w:type="dxa"/>
            <w:gridSpan w:val="2"/>
            <w:vAlign w:val="center"/>
          </w:tcPr>
          <w:p w14:paraId="461804DC">
            <w:pPr>
              <w:pStyle w:val="31"/>
              <w:widowControl/>
              <w:adjustRightInd/>
              <w:snapToGrid/>
              <w:spacing w:before="40" w:after="40" w:line="280" w:lineRule="atLeast"/>
              <w:textAlignment w:val="bottom"/>
              <w:rPr>
                <w:rFonts w:ascii="Times New Roman" w:hAnsi="Times New Roman" w:cs="Times New Roman"/>
                <w:spacing w:val="0"/>
                <w:kern w:val="2"/>
                <w:szCs w:val="21"/>
                <w:highlight w:val="none"/>
              </w:rPr>
            </w:pPr>
            <w:r>
              <w:rPr>
                <w:rFonts w:ascii="Times New Roman" w:hAnsi="Times New Roman" w:cs="Times New Roman"/>
                <w:spacing w:val="0"/>
                <w:kern w:val="2"/>
                <w:szCs w:val="21"/>
                <w:highlight w:val="none"/>
              </w:rPr>
              <w:t>担任何职</w:t>
            </w:r>
          </w:p>
        </w:tc>
        <w:tc>
          <w:tcPr>
            <w:tcW w:w="1229" w:type="dxa"/>
            <w:vAlign w:val="center"/>
          </w:tcPr>
          <w:p w14:paraId="227F3DF8">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及</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 xml:space="preserve">   联系电话</w:t>
            </w:r>
          </w:p>
        </w:tc>
      </w:tr>
      <w:tr w14:paraId="14D0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125455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3DE25B52">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2FD63986">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48699043">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7349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1309D367">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7AFFD115">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43051B73">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35FAD854">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1171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560DCDB">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2005C182">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17DD6D20">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24B01063">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0CC3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44F4108D">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622BBF3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4353CAEB">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009C71B7">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2144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37839A76">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4EC9731A">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21518084">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4EBC1A26">
            <w:pPr>
              <w:widowControl/>
              <w:autoSpaceDE w:val="0"/>
              <w:autoSpaceDN w:val="0"/>
              <w:spacing w:before="40" w:after="40" w:line="280" w:lineRule="atLeast"/>
              <w:textAlignment w:val="bottom"/>
              <w:rPr>
                <w:rFonts w:ascii="Times New Roman" w:hAnsi="Times New Roman" w:cs="Times New Roman"/>
                <w:szCs w:val="21"/>
                <w:highlight w:val="none"/>
              </w:rPr>
            </w:pPr>
          </w:p>
        </w:tc>
      </w:tr>
    </w:tbl>
    <w:p w14:paraId="0F870513">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49DA694B">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1、一个人员对应填写一张本资历表。</w:t>
      </w:r>
    </w:p>
    <w:p w14:paraId="068FDDBA">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2、在本表后应附有其有效身份证。所有证件的扫描件均应清晰可辨，否则，将被认为证书无效。</w:t>
      </w:r>
    </w:p>
    <w:p w14:paraId="48BC7D2A">
      <w:pPr>
        <w:pStyle w:val="9"/>
        <w:widowControl/>
        <w:autoSpaceDE w:val="0"/>
        <w:autoSpaceDN w:val="0"/>
        <w:spacing w:line="360" w:lineRule="atLeast"/>
        <w:ind w:left="180"/>
        <w:jc w:val="both"/>
        <w:textAlignment w:val="bottom"/>
        <w:rPr>
          <w:rFonts w:ascii="Times New Roman" w:hAnsi="Times New Roman" w:eastAsia="黑体" w:cs="Times New Roman"/>
          <w:sz w:val="28"/>
          <w:szCs w:val="28"/>
          <w:highlight w:val="none"/>
        </w:rPr>
      </w:pPr>
    </w:p>
    <w:p w14:paraId="43D35E15">
      <w:pPr>
        <w:rPr>
          <w:rFonts w:hint="eastAsia"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br w:type="page"/>
      </w:r>
    </w:p>
    <w:p w14:paraId="775DDEDE">
      <w:pPr>
        <w:tabs>
          <w:tab w:val="left" w:pos="3060"/>
        </w:tabs>
        <w:topLinePunct/>
        <w:spacing w:line="440" w:lineRule="exact"/>
        <w:jc w:val="center"/>
        <w:rPr>
          <w:rFonts w:ascii="Times New Roman" w:hAnsi="Times New Roman" w:eastAsia="黑体"/>
          <w:sz w:val="28"/>
          <w:szCs w:val="28"/>
          <w:highlight w:val="none"/>
        </w:rPr>
      </w:pPr>
      <w:r>
        <w:rPr>
          <w:rFonts w:hint="eastAsia" w:ascii="Times New Roman" w:hAnsi="Times New Roman" w:eastAsia="黑体"/>
          <w:sz w:val="28"/>
          <w:szCs w:val="28"/>
          <w:highlight w:val="none"/>
          <w:lang w:val="en-US" w:eastAsia="zh-CN"/>
        </w:rPr>
        <w:t>七、</w:t>
      </w:r>
      <w:r>
        <w:rPr>
          <w:rFonts w:hint="eastAsia" w:ascii="Times New Roman" w:hAnsi="Times New Roman" w:eastAsia="黑体"/>
          <w:sz w:val="28"/>
          <w:szCs w:val="28"/>
          <w:highlight w:val="none"/>
        </w:rPr>
        <w:t>信誉情况</w:t>
      </w:r>
      <w:bookmarkEnd w:id="221"/>
      <w:bookmarkEnd w:id="222"/>
      <w:bookmarkEnd w:id="223"/>
      <w:bookmarkEnd w:id="224"/>
      <w:bookmarkEnd w:id="225"/>
      <w:bookmarkEnd w:id="226"/>
      <w:bookmarkEnd w:id="227"/>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13E0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DB3E84A">
            <w:pPr>
              <w:topLinePunct/>
              <w:spacing w:line="440" w:lineRule="exact"/>
              <w:jc w:val="center"/>
              <w:rPr>
                <w:rFonts w:hint="eastAsia" w:ascii="宋体" w:hAnsi="宋体" w:eastAsia="宋体" w:cs="Times New Roman"/>
                <w:bCs/>
                <w:sz w:val="18"/>
                <w:szCs w:val="18"/>
                <w:highlight w:val="none"/>
              </w:rPr>
            </w:pPr>
            <w:r>
              <w:rPr>
                <w:rFonts w:ascii="宋体" w:hAnsi="宋体" w:eastAsia="宋体" w:cs="Times New Roman"/>
                <w:bCs/>
                <w:sz w:val="18"/>
                <w:szCs w:val="18"/>
                <w:highlight w:val="none"/>
              </w:rPr>
              <w:t>项 目</w:t>
            </w:r>
          </w:p>
        </w:tc>
        <w:tc>
          <w:tcPr>
            <w:tcW w:w="4445" w:type="dxa"/>
          </w:tcPr>
          <w:p w14:paraId="051390E8">
            <w:pPr>
              <w:topLinePunct/>
              <w:spacing w:line="440" w:lineRule="exact"/>
              <w:jc w:val="center"/>
              <w:rPr>
                <w:rFonts w:hint="eastAsia" w:ascii="宋体" w:hAnsi="宋体" w:eastAsia="宋体" w:cs="Times New Roman"/>
                <w:bCs/>
                <w:sz w:val="18"/>
                <w:szCs w:val="18"/>
                <w:highlight w:val="none"/>
              </w:rPr>
            </w:pPr>
            <w:r>
              <w:rPr>
                <w:rFonts w:ascii="宋体" w:hAnsi="宋体" w:eastAsia="宋体" w:cs="Times New Roman"/>
                <w:bCs/>
                <w:sz w:val="18"/>
                <w:szCs w:val="18"/>
                <w:highlight w:val="none"/>
              </w:rPr>
              <w:t>供应商情况说明</w:t>
            </w:r>
          </w:p>
        </w:tc>
      </w:tr>
      <w:tr w14:paraId="016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5222D49">
            <w:pPr>
              <w:topLinePunct/>
              <w:spacing w:line="440" w:lineRule="exact"/>
              <w:rPr>
                <w:rFonts w:hint="eastAsia" w:ascii="宋体" w:hAnsi="宋体" w:eastAsia="宋体" w:cs="Times New Roman"/>
                <w:bCs/>
                <w:sz w:val="18"/>
                <w:szCs w:val="18"/>
                <w:highlight w:val="none"/>
              </w:rPr>
            </w:pPr>
            <w:r>
              <w:rPr>
                <w:rFonts w:ascii="宋体" w:hAnsi="宋体" w:eastAsia="宋体" w:cs="Times New Roman"/>
                <w:sz w:val="18"/>
                <w:szCs w:val="18"/>
                <w:highlight w:val="none"/>
              </w:rPr>
              <w:t>是否被责令停业，暂扣或吊销执照，或吊销资质证书</w:t>
            </w:r>
          </w:p>
        </w:tc>
        <w:tc>
          <w:tcPr>
            <w:tcW w:w="4445" w:type="dxa"/>
          </w:tcPr>
          <w:p w14:paraId="6DD2B253">
            <w:pPr>
              <w:topLinePunct/>
              <w:spacing w:line="440" w:lineRule="exact"/>
              <w:rPr>
                <w:rFonts w:ascii="Times New Roman" w:hAnsi="Times New Roman" w:cs="Times New Roman"/>
                <w:bCs/>
                <w:szCs w:val="21"/>
                <w:highlight w:val="none"/>
              </w:rPr>
            </w:pPr>
          </w:p>
        </w:tc>
      </w:tr>
      <w:tr w14:paraId="2E72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4293B31">
            <w:pPr>
              <w:topLinePunct/>
              <w:spacing w:line="440" w:lineRule="exact"/>
              <w:rPr>
                <w:rFonts w:hint="eastAsia" w:ascii="宋体" w:hAnsi="宋体" w:eastAsia="宋体" w:cs="Times New Roman"/>
                <w:bCs/>
                <w:sz w:val="18"/>
                <w:szCs w:val="18"/>
                <w:highlight w:val="none"/>
              </w:rPr>
            </w:pPr>
            <w:r>
              <w:rPr>
                <w:rFonts w:ascii="宋体" w:hAnsi="宋体" w:eastAsia="宋体" w:cs="Times New Roman"/>
                <w:sz w:val="18"/>
                <w:szCs w:val="18"/>
                <w:highlight w:val="none"/>
              </w:rPr>
              <w:t>是否进入清算程序，或被宣告破产，或其他丧失履约能力的情形</w:t>
            </w:r>
          </w:p>
        </w:tc>
        <w:tc>
          <w:tcPr>
            <w:tcW w:w="4445" w:type="dxa"/>
          </w:tcPr>
          <w:p w14:paraId="6AA418F3">
            <w:pPr>
              <w:topLinePunct/>
              <w:spacing w:line="440" w:lineRule="exact"/>
              <w:rPr>
                <w:rFonts w:ascii="Times New Roman" w:hAnsi="Times New Roman" w:cs="Times New Roman"/>
                <w:bCs/>
                <w:szCs w:val="21"/>
                <w:highlight w:val="none"/>
              </w:rPr>
            </w:pPr>
          </w:p>
        </w:tc>
      </w:tr>
      <w:tr w14:paraId="6395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5647950">
            <w:pPr>
              <w:topLinePunct/>
              <w:spacing w:line="440" w:lineRule="exact"/>
              <w:jc w:val="left"/>
              <w:rPr>
                <w:rFonts w:hint="eastAsia" w:ascii="宋体" w:hAnsi="宋体" w:eastAsia="宋体" w:cs="Times New Roman"/>
                <w:sz w:val="18"/>
                <w:szCs w:val="18"/>
                <w:highlight w:val="none"/>
              </w:rPr>
            </w:pPr>
            <w:r>
              <w:rPr>
                <w:rFonts w:ascii="宋体" w:hAnsi="宋体" w:eastAsia="宋体" w:cs="Times New Roman"/>
                <w:sz w:val="18"/>
                <w:szCs w:val="18"/>
                <w:highlight w:val="none"/>
              </w:rPr>
              <w:t>是否在国家企业信用信息公示系（http://www.g</w:t>
            </w:r>
          </w:p>
          <w:p w14:paraId="5BBC3920">
            <w:pPr>
              <w:topLinePunct/>
              <w:spacing w:line="440" w:lineRule="exact"/>
              <w:jc w:val="left"/>
              <w:rPr>
                <w:rFonts w:hint="eastAsia" w:ascii="宋体" w:hAnsi="宋体" w:eastAsia="宋体" w:cs="Times New Roman"/>
                <w:sz w:val="18"/>
                <w:szCs w:val="18"/>
                <w:highlight w:val="none"/>
              </w:rPr>
            </w:pPr>
            <w:r>
              <w:rPr>
                <w:rFonts w:ascii="宋体" w:hAnsi="宋体" w:eastAsia="宋体" w:cs="Times New Roman"/>
                <w:sz w:val="18"/>
                <w:szCs w:val="18"/>
                <w:highlight w:val="none"/>
              </w:rPr>
              <w:t>sxt.gov.cn）中被列入严重违法失信企业名单</w:t>
            </w:r>
          </w:p>
        </w:tc>
        <w:tc>
          <w:tcPr>
            <w:tcW w:w="4445" w:type="dxa"/>
          </w:tcPr>
          <w:p w14:paraId="594DB635">
            <w:pPr>
              <w:topLinePunct/>
              <w:spacing w:line="440" w:lineRule="exact"/>
              <w:rPr>
                <w:rFonts w:ascii="Times New Roman" w:hAnsi="Times New Roman" w:cs="Times New Roman"/>
                <w:bCs/>
                <w:szCs w:val="21"/>
                <w:highlight w:val="none"/>
              </w:rPr>
            </w:pPr>
          </w:p>
        </w:tc>
      </w:tr>
      <w:tr w14:paraId="77F6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07A3DB">
            <w:pPr>
              <w:topLinePunct/>
              <w:spacing w:line="440" w:lineRule="exact"/>
              <w:jc w:val="lef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是否</w:t>
            </w:r>
            <w:r>
              <w:rPr>
                <w:rFonts w:hint="eastAsia" w:ascii="宋体" w:hAnsi="宋体" w:eastAsia="宋体" w:cs="Times New Roman"/>
                <w:sz w:val="18"/>
                <w:szCs w:val="18"/>
                <w:highlight w:val="none"/>
                <w:lang w:val="en-US" w:eastAsia="zh-CN"/>
              </w:rPr>
              <w:t>在</w:t>
            </w:r>
            <w:r>
              <w:rPr>
                <w:rFonts w:hint="eastAsia" w:ascii="宋体" w:hAnsi="宋体" w:eastAsia="宋体" w:cs="Times New Roman"/>
                <w:sz w:val="18"/>
                <w:szCs w:val="18"/>
                <w:highlight w:val="none"/>
              </w:rPr>
              <w:t>“中国执行信息公开网”（http://zxgk</w:t>
            </w:r>
          </w:p>
          <w:p w14:paraId="6BAD0A48">
            <w:pPr>
              <w:topLinePunct/>
              <w:spacing w:line="440" w:lineRule="exact"/>
              <w:jc w:val="lef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.court.gov.cn）中被列入失信被执行人名单</w:t>
            </w:r>
          </w:p>
        </w:tc>
        <w:tc>
          <w:tcPr>
            <w:tcW w:w="4445" w:type="dxa"/>
          </w:tcPr>
          <w:p w14:paraId="348B2E2F">
            <w:pPr>
              <w:topLinePunct/>
              <w:spacing w:line="440" w:lineRule="exact"/>
              <w:rPr>
                <w:rFonts w:ascii="Times New Roman" w:hAnsi="Times New Roman" w:cs="Times New Roman"/>
                <w:bCs/>
                <w:szCs w:val="21"/>
                <w:highlight w:val="none"/>
              </w:rPr>
            </w:pPr>
          </w:p>
        </w:tc>
      </w:tr>
      <w:tr w14:paraId="5141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09CCB40">
            <w:pPr>
              <w:topLinePunct/>
              <w:spacing w:line="440" w:lineRule="exact"/>
              <w:rPr>
                <w:rFonts w:hint="eastAsia" w:ascii="宋体" w:hAnsi="宋体" w:eastAsia="宋体" w:cs="Times New Roman"/>
                <w:bCs/>
                <w:sz w:val="18"/>
                <w:szCs w:val="18"/>
                <w:highlight w:val="none"/>
              </w:rPr>
            </w:pPr>
            <w:r>
              <w:rPr>
                <w:rFonts w:ascii="宋体" w:hAnsi="宋体" w:eastAsia="宋体" w:cs="Times New Roman"/>
                <w:sz w:val="18"/>
                <w:szCs w:val="18"/>
                <w:highlight w:val="none"/>
              </w:rPr>
              <w:t>是否在近三年内（自</w:t>
            </w:r>
            <w:r>
              <w:rPr>
                <w:rFonts w:hint="eastAsia" w:ascii="宋体" w:hAnsi="宋体" w:eastAsia="宋体" w:cs="Times New Roman"/>
                <w:sz w:val="18"/>
                <w:szCs w:val="18"/>
                <w:highlight w:val="none"/>
              </w:rPr>
              <w:t>响应文件递交截止之日</w:t>
            </w:r>
            <w:r>
              <w:rPr>
                <w:rFonts w:ascii="宋体" w:hAnsi="宋体" w:eastAsia="宋体" w:cs="Times New Roman"/>
                <w:sz w:val="18"/>
                <w:szCs w:val="18"/>
                <w:highlight w:val="none"/>
              </w:rPr>
              <w:t>向前追溯3年）供应商或其法定代表人、拟委任的</w:t>
            </w:r>
            <w:r>
              <w:rPr>
                <w:rFonts w:hint="eastAsia" w:ascii="宋体" w:hAnsi="宋体" w:eastAsia="宋体" w:cs="Times New Roman"/>
                <w:sz w:val="18"/>
                <w:szCs w:val="18"/>
                <w:highlight w:val="none"/>
              </w:rPr>
              <w:t>项目负责人</w:t>
            </w:r>
            <w:r>
              <w:rPr>
                <w:rFonts w:ascii="宋体" w:hAnsi="宋体" w:eastAsia="宋体" w:cs="Times New Roman"/>
                <w:sz w:val="18"/>
                <w:szCs w:val="18"/>
                <w:highlight w:val="none"/>
              </w:rPr>
              <w:t>有行贿犯罪行为</w:t>
            </w:r>
          </w:p>
        </w:tc>
        <w:tc>
          <w:tcPr>
            <w:tcW w:w="4445" w:type="dxa"/>
          </w:tcPr>
          <w:p w14:paraId="0C217E11">
            <w:pPr>
              <w:topLinePunct/>
              <w:spacing w:line="440" w:lineRule="exact"/>
              <w:jc w:val="left"/>
              <w:rPr>
                <w:rFonts w:ascii="Times New Roman" w:hAnsi="Times New Roman" w:cs="Times New Roman"/>
                <w:bCs/>
                <w:szCs w:val="21"/>
                <w:highlight w:val="none"/>
              </w:rPr>
            </w:pPr>
          </w:p>
        </w:tc>
      </w:tr>
      <w:tr w14:paraId="367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077" w:type="dxa"/>
            <w:vAlign w:val="center"/>
          </w:tcPr>
          <w:p w14:paraId="62A9C6FF">
            <w:pPr>
              <w:topLinePunct/>
              <w:spacing w:line="440" w:lineRule="exac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w:t>
            </w:r>
          </w:p>
        </w:tc>
        <w:tc>
          <w:tcPr>
            <w:tcW w:w="4445" w:type="dxa"/>
          </w:tcPr>
          <w:p w14:paraId="536B7058">
            <w:pPr>
              <w:topLinePunct/>
              <w:spacing w:line="440" w:lineRule="exact"/>
              <w:rPr>
                <w:rFonts w:ascii="Times New Roman" w:hAnsi="Times New Roman" w:cs="Times New Roman"/>
                <w:bCs/>
                <w:szCs w:val="21"/>
                <w:highlight w:val="none"/>
              </w:rPr>
            </w:pPr>
          </w:p>
        </w:tc>
      </w:tr>
    </w:tbl>
    <w:p w14:paraId="7323B0BC">
      <w:pPr>
        <w:spacing w:line="440" w:lineRule="exact"/>
        <w:jc w:val="left"/>
        <w:rPr>
          <w:rFonts w:ascii="Times New Roman" w:hAnsi="Times New Roman"/>
          <w:sz w:val="24"/>
          <w:highlight w:val="none"/>
        </w:rPr>
      </w:pPr>
      <w:r>
        <w:rPr>
          <w:rFonts w:ascii="Times New Roman" w:hAnsi="Times New Roman"/>
          <w:sz w:val="24"/>
          <w:highlight w:val="none"/>
        </w:rPr>
        <w:t>注：本表无需附证明材料。</w:t>
      </w:r>
    </w:p>
    <w:p w14:paraId="0E0CF949">
      <w:pPr>
        <w:pStyle w:val="9"/>
        <w:jc w:val="right"/>
        <w:rPr>
          <w:rFonts w:ascii="Times New Roman" w:hAnsi="Times New Roman"/>
          <w:sz w:val="24"/>
          <w:highlight w:val="none"/>
        </w:rPr>
      </w:pPr>
    </w:p>
    <w:p w14:paraId="719F6D1E">
      <w:pPr>
        <w:spacing w:line="440" w:lineRule="exact"/>
        <w:jc w:val="right"/>
        <w:rPr>
          <w:rFonts w:ascii="Times New Roman" w:hAnsi="Times New Roman"/>
          <w:sz w:val="24"/>
          <w:highlight w:val="none"/>
        </w:rPr>
      </w:pPr>
      <w:r>
        <w:rPr>
          <w:rFonts w:ascii="Times New Roman" w:hAnsi="Times New Roman"/>
          <w:sz w:val="24"/>
          <w:highlight w:val="none"/>
        </w:rPr>
        <w:t xml:space="preserve"> 供应商：</w:t>
      </w:r>
      <w:r>
        <w:rPr>
          <w:rFonts w:ascii="Times New Roman" w:hAnsi="Times New Roman"/>
          <w:sz w:val="24"/>
          <w:highlight w:val="none"/>
          <w:u w:val="single"/>
        </w:rPr>
        <w:t xml:space="preserve">                 </w:t>
      </w:r>
      <w:r>
        <w:rPr>
          <w:rFonts w:ascii="Times New Roman" w:hAnsi="Times New Roman"/>
          <w:sz w:val="24"/>
          <w:highlight w:val="none"/>
        </w:rPr>
        <w:t>(盖单位章)</w:t>
      </w:r>
    </w:p>
    <w:p w14:paraId="7C34B5B6">
      <w:pPr>
        <w:pStyle w:val="9"/>
        <w:jc w:val="right"/>
        <w:rPr>
          <w:highlight w:val="none"/>
          <w:u w:val="single"/>
        </w:rPr>
      </w:pPr>
      <w:r>
        <w:rPr>
          <w:rFonts w:ascii="Times New Roman" w:hAnsi="Times New Roman"/>
          <w:sz w:val="24"/>
          <w:highlight w:val="none"/>
          <w:u w:val="single"/>
        </w:rPr>
        <w:t xml:space="preserve">       </w:t>
      </w:r>
      <w:r>
        <w:rPr>
          <w:rFonts w:ascii="Times New Roman" w:hAnsi="Times New Roman"/>
          <w:sz w:val="24"/>
          <w:highlight w:val="none"/>
        </w:rPr>
        <w:t xml:space="preserve">年 </w:t>
      </w:r>
      <w:r>
        <w:rPr>
          <w:rFonts w:ascii="Times New Roman" w:hAnsi="Times New Roman"/>
          <w:sz w:val="24"/>
          <w:highlight w:val="none"/>
          <w:u w:val="single"/>
        </w:rPr>
        <w:t xml:space="preserve">      </w:t>
      </w:r>
      <w:r>
        <w:rPr>
          <w:rFonts w:ascii="Times New Roman" w:hAnsi="Times New Roman"/>
          <w:sz w:val="24"/>
          <w:highlight w:val="none"/>
        </w:rPr>
        <w:t>月</w:t>
      </w:r>
      <w:r>
        <w:rPr>
          <w:rFonts w:ascii="Times New Roman" w:hAnsi="Times New Roman"/>
          <w:sz w:val="24"/>
          <w:highlight w:val="none"/>
          <w:u w:val="single"/>
        </w:rPr>
        <w:t xml:space="preserve">       </w:t>
      </w:r>
      <w:r>
        <w:rPr>
          <w:rFonts w:ascii="Times New Roman" w:hAnsi="Times New Roman"/>
          <w:sz w:val="24"/>
          <w:highlight w:val="none"/>
        </w:rPr>
        <w:t>日</w:t>
      </w:r>
    </w:p>
    <w:p w14:paraId="6F24C260">
      <w:pPr>
        <w:pStyle w:val="9"/>
        <w:rPr>
          <w:highlight w:val="none"/>
        </w:rPr>
      </w:pPr>
    </w:p>
    <w:p w14:paraId="01F7A496">
      <w:pPr>
        <w:pStyle w:val="9"/>
        <w:spacing w:line="440" w:lineRule="exact"/>
        <w:rPr>
          <w:rFonts w:ascii="Times New Roman" w:hAnsi="Times New Roman"/>
          <w:sz w:val="24"/>
          <w:highlight w:val="none"/>
        </w:rPr>
      </w:pPr>
    </w:p>
    <w:p w14:paraId="0FA8C23E">
      <w:pPr>
        <w:spacing w:line="400" w:lineRule="atLeast"/>
        <w:jc w:val="center"/>
        <w:rPr>
          <w:rFonts w:ascii="Times New Roman" w:hAnsi="Times New Roman"/>
          <w:sz w:val="24"/>
          <w:highlight w:val="none"/>
        </w:rPr>
      </w:pPr>
      <w:r>
        <w:rPr>
          <w:rFonts w:ascii="Times New Roman" w:hAnsi="Times New Roman" w:eastAsia="黑体"/>
          <w:sz w:val="27"/>
          <w:szCs w:val="27"/>
          <w:highlight w:val="none"/>
        </w:rPr>
        <w:br w:type="page"/>
      </w:r>
    </w:p>
    <w:p w14:paraId="250AE4B8">
      <w:pPr>
        <w:spacing w:line="440" w:lineRule="exact"/>
        <w:jc w:val="center"/>
        <w:rPr>
          <w:rFonts w:ascii="Times New Roman" w:hAnsi="Times New Roman" w:eastAsia="黑体"/>
          <w:sz w:val="28"/>
          <w:szCs w:val="28"/>
          <w:highlight w:val="none"/>
        </w:rPr>
      </w:pPr>
      <w:bookmarkStart w:id="234" w:name="_Toc23493_WPSOffice_Level1"/>
      <w:bookmarkStart w:id="235" w:name="_Toc21078_WPSOffice_Level1"/>
      <w:bookmarkStart w:id="236" w:name="_Toc15767_WPSOffice_Level1"/>
      <w:bookmarkStart w:id="237" w:name="_Toc2048_WPSOffice_Level1"/>
      <w:bookmarkStart w:id="238" w:name="_Toc24999_WPSOffice_Level1"/>
      <w:bookmarkStart w:id="239" w:name="_Toc1483_WPSOffice_Level1"/>
      <w:bookmarkStart w:id="240" w:name="_Toc7540_WPSOffice_Level1"/>
      <w:r>
        <w:rPr>
          <w:rFonts w:hint="eastAsia" w:ascii="Times New Roman" w:hAnsi="Times New Roman" w:eastAsia="黑体"/>
          <w:sz w:val="28"/>
          <w:szCs w:val="28"/>
          <w:highlight w:val="none"/>
        </w:rPr>
        <w:t>八</w:t>
      </w:r>
      <w:bookmarkEnd w:id="234"/>
      <w:bookmarkEnd w:id="235"/>
      <w:bookmarkEnd w:id="236"/>
      <w:bookmarkEnd w:id="237"/>
      <w:bookmarkEnd w:id="238"/>
      <w:bookmarkEnd w:id="239"/>
      <w:bookmarkEnd w:id="240"/>
      <w:bookmarkStart w:id="241" w:name="_Toc22303_WPSOffice_Level1"/>
      <w:bookmarkStart w:id="242" w:name="_Toc15802_WPSOffice_Level1"/>
      <w:bookmarkStart w:id="243" w:name="_Toc13165_WPSOffice_Level1"/>
      <w:bookmarkStart w:id="244" w:name="_Toc8419_WPSOffice_Level1"/>
      <w:bookmarkStart w:id="245" w:name="_Toc2428_WPSOffice_Level1"/>
      <w:bookmarkStart w:id="246" w:name="_Toc7110_WPSOffice_Level1"/>
      <w:bookmarkStart w:id="247" w:name="_Toc15887_WPSOffice_Level1"/>
      <w:r>
        <w:rPr>
          <w:rFonts w:ascii="Times New Roman" w:hAnsi="Times New Roman" w:eastAsia="黑体"/>
          <w:sz w:val="28"/>
          <w:szCs w:val="28"/>
          <w:highlight w:val="none"/>
        </w:rPr>
        <w:t>、其它</w:t>
      </w:r>
      <w:bookmarkEnd w:id="241"/>
      <w:r>
        <w:rPr>
          <w:rFonts w:ascii="Times New Roman" w:hAnsi="Times New Roman" w:eastAsia="黑体"/>
          <w:sz w:val="28"/>
          <w:szCs w:val="28"/>
          <w:highlight w:val="none"/>
        </w:rPr>
        <w:t>材料</w:t>
      </w:r>
      <w:bookmarkEnd w:id="242"/>
      <w:bookmarkEnd w:id="243"/>
      <w:bookmarkEnd w:id="244"/>
      <w:bookmarkEnd w:id="245"/>
      <w:bookmarkEnd w:id="246"/>
      <w:bookmarkEnd w:id="247"/>
    </w:p>
    <w:p w14:paraId="3BF8C9E2">
      <w:pPr>
        <w:pStyle w:val="27"/>
        <w:rPr>
          <w:rFonts w:hint="default" w:ascii="Times New Roman" w:hAnsi="Times New Roman"/>
          <w:color w:val="auto"/>
          <w:szCs w:val="28"/>
          <w:highlight w:val="none"/>
        </w:rPr>
      </w:pPr>
    </w:p>
    <w:p w14:paraId="43F1AAD2">
      <w:pPr>
        <w:pStyle w:val="27"/>
        <w:rPr>
          <w:rFonts w:hint="default" w:ascii="Times New Roman" w:hAnsi="Times New Roman"/>
          <w:color w:val="auto"/>
          <w:szCs w:val="28"/>
          <w:highlight w:val="none"/>
        </w:rPr>
      </w:pPr>
      <w:r>
        <w:rPr>
          <w:rFonts w:ascii="仿宋_GB2312" w:hAnsi="Times New Roman" w:eastAsia="仿宋_GB2312"/>
          <w:color w:val="auto"/>
          <w:szCs w:val="28"/>
          <w:highlight w:val="none"/>
        </w:rPr>
        <w:t>响应人认为需要提交的其他材料</w:t>
      </w:r>
      <w:r>
        <w:rPr>
          <w:rFonts w:ascii="Times New Roman" w:hAnsi="Times New Roman"/>
          <w:color w:val="auto"/>
          <w:szCs w:val="28"/>
          <w:highlight w:val="none"/>
        </w:rPr>
        <w:t>。</w:t>
      </w:r>
    </w:p>
    <w:p w14:paraId="27D3656E">
      <w:pPr>
        <w:pStyle w:val="9"/>
        <w:rPr>
          <w:rFonts w:ascii="Times New Roman" w:hAnsi="Times New Roman"/>
          <w:highlight w:val="none"/>
          <w:u w:val="single"/>
        </w:rPr>
      </w:pPr>
    </w:p>
    <w:p w14:paraId="72270146">
      <w:pPr>
        <w:pStyle w:val="9"/>
        <w:jc w:val="left"/>
        <w:rPr>
          <w:highlight w:val="none"/>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E919">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BD748E">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14:paraId="30BD748E">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290218E5">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A40C">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66BD42">
                          <w:pPr>
                            <w:jc w:val="center"/>
                          </w:pPr>
                          <w:r>
                            <w:fldChar w:fldCharType="begin"/>
                          </w:r>
                          <w:r>
                            <w:rPr>
                              <w:rStyle w:val="22"/>
                            </w:rPr>
                            <w:instrText xml:space="preserve"> PAGE </w:instrText>
                          </w:r>
                          <w:r>
                            <w:fldChar w:fldCharType="separate"/>
                          </w:r>
                          <w:r>
                            <w:rPr>
                              <w:rStyle w:val="22"/>
                            </w:rPr>
                            <w:t>- 131 -</w:t>
                          </w:r>
                          <w:r>
                            <w:fldChar w:fldCharType="end"/>
                          </w:r>
                        </w:p>
                        <w:p w14:paraId="164C554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666BD42">
                    <w:pPr>
                      <w:jc w:val="center"/>
                    </w:pPr>
                    <w:r>
                      <w:fldChar w:fldCharType="begin"/>
                    </w:r>
                    <w:r>
                      <w:rPr>
                        <w:rStyle w:val="22"/>
                      </w:rPr>
                      <w:instrText xml:space="preserve"> PAGE </w:instrText>
                    </w:r>
                    <w:r>
                      <w:fldChar w:fldCharType="separate"/>
                    </w:r>
                    <w:r>
                      <w:rPr>
                        <w:rStyle w:val="22"/>
                      </w:rPr>
                      <w:t>- 131 -</w:t>
                    </w:r>
                    <w:r>
                      <w:fldChar w:fldCharType="end"/>
                    </w:r>
                  </w:p>
                  <w:p w14:paraId="164C554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86D5">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0BB1C8">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v:fill on="f" focussize="0,0"/>
              <v:stroke on="f"/>
              <v:imagedata o:title=""/>
              <o:lock v:ext="edit" aspectratio="f"/>
              <v:textbox inset="0mm,0mm,0mm,0mm" style="mso-fit-shape-to-text:t;">
                <w:txbxContent>
                  <w:p w14:paraId="5E0BB1C8">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19912">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A8BC0CD"/>
    <w:multiLevelType w:val="singleLevel"/>
    <w:tmpl w:val="0A8BC0CD"/>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OTdmY2EwOTI1NjFkZTkzMDZlZjRjNTZjMWVlZDAifQ=="/>
  </w:docVars>
  <w:rsids>
    <w:rsidRoot w:val="00E10A48"/>
    <w:rsid w:val="0000308E"/>
    <w:rsid w:val="00076791"/>
    <w:rsid w:val="00126DE8"/>
    <w:rsid w:val="001659E6"/>
    <w:rsid w:val="00200A12"/>
    <w:rsid w:val="00286930"/>
    <w:rsid w:val="00320929"/>
    <w:rsid w:val="003C30D3"/>
    <w:rsid w:val="003C6A6E"/>
    <w:rsid w:val="00466F51"/>
    <w:rsid w:val="004932B8"/>
    <w:rsid w:val="00512041"/>
    <w:rsid w:val="005B1C62"/>
    <w:rsid w:val="00774C23"/>
    <w:rsid w:val="007F0E50"/>
    <w:rsid w:val="007F34E3"/>
    <w:rsid w:val="00AE1115"/>
    <w:rsid w:val="00AF0DA2"/>
    <w:rsid w:val="00B56F3C"/>
    <w:rsid w:val="00C07CAF"/>
    <w:rsid w:val="00E10A48"/>
    <w:rsid w:val="00EE4EE2"/>
    <w:rsid w:val="00F43DE7"/>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165B7"/>
    <w:rsid w:val="01767A67"/>
    <w:rsid w:val="018B2605"/>
    <w:rsid w:val="018F38F6"/>
    <w:rsid w:val="019312E0"/>
    <w:rsid w:val="0195715E"/>
    <w:rsid w:val="019B082D"/>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A1A65"/>
    <w:rsid w:val="02454DC6"/>
    <w:rsid w:val="02460711"/>
    <w:rsid w:val="024B086A"/>
    <w:rsid w:val="024C3FDE"/>
    <w:rsid w:val="025C2FF3"/>
    <w:rsid w:val="025F5CCB"/>
    <w:rsid w:val="0260580C"/>
    <w:rsid w:val="026F50F7"/>
    <w:rsid w:val="0292228F"/>
    <w:rsid w:val="029D3473"/>
    <w:rsid w:val="02A843B9"/>
    <w:rsid w:val="02A96BC8"/>
    <w:rsid w:val="02AF018D"/>
    <w:rsid w:val="02B17534"/>
    <w:rsid w:val="02B8379A"/>
    <w:rsid w:val="02C148EA"/>
    <w:rsid w:val="02CD0689"/>
    <w:rsid w:val="02F11F86"/>
    <w:rsid w:val="031402A0"/>
    <w:rsid w:val="031C7DE4"/>
    <w:rsid w:val="03530EF0"/>
    <w:rsid w:val="03666726"/>
    <w:rsid w:val="036A6013"/>
    <w:rsid w:val="036B0042"/>
    <w:rsid w:val="03921536"/>
    <w:rsid w:val="03957CCA"/>
    <w:rsid w:val="03DE6BBF"/>
    <w:rsid w:val="03EA0F31"/>
    <w:rsid w:val="03EC548F"/>
    <w:rsid w:val="03FB6B06"/>
    <w:rsid w:val="04233E93"/>
    <w:rsid w:val="04295DA0"/>
    <w:rsid w:val="04301D9B"/>
    <w:rsid w:val="04352FAD"/>
    <w:rsid w:val="04442BF1"/>
    <w:rsid w:val="04533F12"/>
    <w:rsid w:val="046B7205"/>
    <w:rsid w:val="047B3AB4"/>
    <w:rsid w:val="047C0CFA"/>
    <w:rsid w:val="047C234D"/>
    <w:rsid w:val="047F532D"/>
    <w:rsid w:val="048328A9"/>
    <w:rsid w:val="04A61CAB"/>
    <w:rsid w:val="04A711E6"/>
    <w:rsid w:val="04B66E9B"/>
    <w:rsid w:val="04BE12FC"/>
    <w:rsid w:val="04CE1F73"/>
    <w:rsid w:val="04DF02F5"/>
    <w:rsid w:val="04EA65EC"/>
    <w:rsid w:val="04F54297"/>
    <w:rsid w:val="04F76AAC"/>
    <w:rsid w:val="04F95D73"/>
    <w:rsid w:val="050022AA"/>
    <w:rsid w:val="05162632"/>
    <w:rsid w:val="05474D67"/>
    <w:rsid w:val="057351EA"/>
    <w:rsid w:val="059761EF"/>
    <w:rsid w:val="059F2433"/>
    <w:rsid w:val="05A12F8F"/>
    <w:rsid w:val="05B16949"/>
    <w:rsid w:val="05C614B1"/>
    <w:rsid w:val="05EC3DBF"/>
    <w:rsid w:val="05F90297"/>
    <w:rsid w:val="060C39DD"/>
    <w:rsid w:val="061006D5"/>
    <w:rsid w:val="06227012"/>
    <w:rsid w:val="06291D77"/>
    <w:rsid w:val="062929E2"/>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914D92"/>
    <w:rsid w:val="07C93DD2"/>
    <w:rsid w:val="07F10BD9"/>
    <w:rsid w:val="07F33261"/>
    <w:rsid w:val="07FB3039"/>
    <w:rsid w:val="07FC2047"/>
    <w:rsid w:val="080A4F8B"/>
    <w:rsid w:val="081D312D"/>
    <w:rsid w:val="08290DFC"/>
    <w:rsid w:val="082D031A"/>
    <w:rsid w:val="083227D0"/>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523172"/>
    <w:rsid w:val="096126C2"/>
    <w:rsid w:val="097853D8"/>
    <w:rsid w:val="09904735"/>
    <w:rsid w:val="09A1577F"/>
    <w:rsid w:val="09B1743D"/>
    <w:rsid w:val="09BF3C5F"/>
    <w:rsid w:val="09EC3543"/>
    <w:rsid w:val="0A017749"/>
    <w:rsid w:val="0A2A75F4"/>
    <w:rsid w:val="0A31325F"/>
    <w:rsid w:val="0A433EA3"/>
    <w:rsid w:val="0A4C0A53"/>
    <w:rsid w:val="0A562E5C"/>
    <w:rsid w:val="0A6D4428"/>
    <w:rsid w:val="0A6F718B"/>
    <w:rsid w:val="0A70103F"/>
    <w:rsid w:val="0A830A8F"/>
    <w:rsid w:val="0ADB488F"/>
    <w:rsid w:val="0ADF4740"/>
    <w:rsid w:val="0AEE0DB2"/>
    <w:rsid w:val="0AF404CA"/>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2F779B"/>
    <w:rsid w:val="0C30164C"/>
    <w:rsid w:val="0C4909C1"/>
    <w:rsid w:val="0C54553C"/>
    <w:rsid w:val="0C6153DA"/>
    <w:rsid w:val="0C680BDD"/>
    <w:rsid w:val="0C715D36"/>
    <w:rsid w:val="0C72723E"/>
    <w:rsid w:val="0C8830F0"/>
    <w:rsid w:val="0C915D6B"/>
    <w:rsid w:val="0C9F0011"/>
    <w:rsid w:val="0CA02447"/>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7F7DC9"/>
    <w:rsid w:val="0D840310"/>
    <w:rsid w:val="0D935001"/>
    <w:rsid w:val="0DA75F7E"/>
    <w:rsid w:val="0DA966D0"/>
    <w:rsid w:val="0DA966E2"/>
    <w:rsid w:val="0DCE19B4"/>
    <w:rsid w:val="0E05440A"/>
    <w:rsid w:val="0E14052A"/>
    <w:rsid w:val="0E1B588D"/>
    <w:rsid w:val="0E265F28"/>
    <w:rsid w:val="0E2873E9"/>
    <w:rsid w:val="0E445BFC"/>
    <w:rsid w:val="0E744B2D"/>
    <w:rsid w:val="0E754541"/>
    <w:rsid w:val="0E8D05E0"/>
    <w:rsid w:val="0E9B3C63"/>
    <w:rsid w:val="0EAC5699"/>
    <w:rsid w:val="0EB4636E"/>
    <w:rsid w:val="0EB75DCA"/>
    <w:rsid w:val="0EC81177"/>
    <w:rsid w:val="0ED12EB4"/>
    <w:rsid w:val="0ED16605"/>
    <w:rsid w:val="0ED97B37"/>
    <w:rsid w:val="0EE3071C"/>
    <w:rsid w:val="0EED2DF2"/>
    <w:rsid w:val="0EF83DB8"/>
    <w:rsid w:val="0F063B0F"/>
    <w:rsid w:val="0F1D266E"/>
    <w:rsid w:val="0F391647"/>
    <w:rsid w:val="0F401FA4"/>
    <w:rsid w:val="0F4F57E8"/>
    <w:rsid w:val="0F6C3B60"/>
    <w:rsid w:val="0F6F6315"/>
    <w:rsid w:val="0F7150A0"/>
    <w:rsid w:val="0F745E05"/>
    <w:rsid w:val="0F874265"/>
    <w:rsid w:val="0FA64E84"/>
    <w:rsid w:val="0FB81B5B"/>
    <w:rsid w:val="0FD00E8A"/>
    <w:rsid w:val="0FFE6FD8"/>
    <w:rsid w:val="10090199"/>
    <w:rsid w:val="10337DDD"/>
    <w:rsid w:val="103656D1"/>
    <w:rsid w:val="103C7917"/>
    <w:rsid w:val="10564A8B"/>
    <w:rsid w:val="1058602D"/>
    <w:rsid w:val="10765BB5"/>
    <w:rsid w:val="10795C93"/>
    <w:rsid w:val="10800123"/>
    <w:rsid w:val="108B3AFA"/>
    <w:rsid w:val="10B15280"/>
    <w:rsid w:val="10D50461"/>
    <w:rsid w:val="10E24CD8"/>
    <w:rsid w:val="10F15163"/>
    <w:rsid w:val="10F26CDC"/>
    <w:rsid w:val="10FA1B98"/>
    <w:rsid w:val="11163C77"/>
    <w:rsid w:val="1139732F"/>
    <w:rsid w:val="114A7510"/>
    <w:rsid w:val="114C67B8"/>
    <w:rsid w:val="115A53BC"/>
    <w:rsid w:val="11696085"/>
    <w:rsid w:val="117A2D8F"/>
    <w:rsid w:val="11864194"/>
    <w:rsid w:val="118E75B9"/>
    <w:rsid w:val="1194155A"/>
    <w:rsid w:val="119C1623"/>
    <w:rsid w:val="11A94823"/>
    <w:rsid w:val="11AB3509"/>
    <w:rsid w:val="11B5299E"/>
    <w:rsid w:val="11E52624"/>
    <w:rsid w:val="11E8124D"/>
    <w:rsid w:val="11F9333E"/>
    <w:rsid w:val="11FE31AD"/>
    <w:rsid w:val="121466AA"/>
    <w:rsid w:val="122B6577"/>
    <w:rsid w:val="122D02D9"/>
    <w:rsid w:val="12343761"/>
    <w:rsid w:val="123756D1"/>
    <w:rsid w:val="123B7167"/>
    <w:rsid w:val="124444B1"/>
    <w:rsid w:val="124E5F2C"/>
    <w:rsid w:val="12597E87"/>
    <w:rsid w:val="125B3739"/>
    <w:rsid w:val="126943EE"/>
    <w:rsid w:val="12865675"/>
    <w:rsid w:val="129A697A"/>
    <w:rsid w:val="12C6189A"/>
    <w:rsid w:val="12CE785B"/>
    <w:rsid w:val="12D16BCB"/>
    <w:rsid w:val="12D22C2E"/>
    <w:rsid w:val="12DC2AAB"/>
    <w:rsid w:val="12E74E3F"/>
    <w:rsid w:val="12ED7F8F"/>
    <w:rsid w:val="12F04674"/>
    <w:rsid w:val="12FE1AE7"/>
    <w:rsid w:val="13190BA4"/>
    <w:rsid w:val="13293F8A"/>
    <w:rsid w:val="132A5815"/>
    <w:rsid w:val="13356A71"/>
    <w:rsid w:val="134854F2"/>
    <w:rsid w:val="134E69EB"/>
    <w:rsid w:val="13594F2D"/>
    <w:rsid w:val="13714DE1"/>
    <w:rsid w:val="13A70B15"/>
    <w:rsid w:val="13B72E13"/>
    <w:rsid w:val="13BA32C6"/>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E46C49"/>
    <w:rsid w:val="14F33B67"/>
    <w:rsid w:val="14F450DE"/>
    <w:rsid w:val="151E62FD"/>
    <w:rsid w:val="151F03B5"/>
    <w:rsid w:val="153A65BE"/>
    <w:rsid w:val="15422B45"/>
    <w:rsid w:val="1554131A"/>
    <w:rsid w:val="156629A4"/>
    <w:rsid w:val="156A38D6"/>
    <w:rsid w:val="1584295D"/>
    <w:rsid w:val="158735B1"/>
    <w:rsid w:val="15895244"/>
    <w:rsid w:val="159E013D"/>
    <w:rsid w:val="15BA0961"/>
    <w:rsid w:val="15BC6BCB"/>
    <w:rsid w:val="15BE502B"/>
    <w:rsid w:val="15D32868"/>
    <w:rsid w:val="15E35210"/>
    <w:rsid w:val="15EE1192"/>
    <w:rsid w:val="15FD0081"/>
    <w:rsid w:val="161713B9"/>
    <w:rsid w:val="1621024A"/>
    <w:rsid w:val="162117F2"/>
    <w:rsid w:val="163D38BD"/>
    <w:rsid w:val="164432FC"/>
    <w:rsid w:val="166867F9"/>
    <w:rsid w:val="16746A12"/>
    <w:rsid w:val="16763172"/>
    <w:rsid w:val="167E2633"/>
    <w:rsid w:val="168431DE"/>
    <w:rsid w:val="168C763B"/>
    <w:rsid w:val="1690501F"/>
    <w:rsid w:val="16B22F9A"/>
    <w:rsid w:val="16BF10CC"/>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E7705"/>
    <w:rsid w:val="17DE1931"/>
    <w:rsid w:val="17E43CA4"/>
    <w:rsid w:val="17E827BA"/>
    <w:rsid w:val="1803234F"/>
    <w:rsid w:val="18050C18"/>
    <w:rsid w:val="181F7B0D"/>
    <w:rsid w:val="184D7361"/>
    <w:rsid w:val="184F5FF4"/>
    <w:rsid w:val="1853036D"/>
    <w:rsid w:val="18611ADF"/>
    <w:rsid w:val="18660D83"/>
    <w:rsid w:val="188F0361"/>
    <w:rsid w:val="18A34D8C"/>
    <w:rsid w:val="18AD0BE1"/>
    <w:rsid w:val="18B619A6"/>
    <w:rsid w:val="18BB43F9"/>
    <w:rsid w:val="18BD2A66"/>
    <w:rsid w:val="18C13AC1"/>
    <w:rsid w:val="18D119EE"/>
    <w:rsid w:val="190102ED"/>
    <w:rsid w:val="190524A1"/>
    <w:rsid w:val="19111C94"/>
    <w:rsid w:val="191F297D"/>
    <w:rsid w:val="193809C2"/>
    <w:rsid w:val="194361A3"/>
    <w:rsid w:val="194E641E"/>
    <w:rsid w:val="19607ADC"/>
    <w:rsid w:val="19651738"/>
    <w:rsid w:val="198365E2"/>
    <w:rsid w:val="19976995"/>
    <w:rsid w:val="19B044DF"/>
    <w:rsid w:val="19B17D54"/>
    <w:rsid w:val="19FA5475"/>
    <w:rsid w:val="19FC6A1D"/>
    <w:rsid w:val="1A110767"/>
    <w:rsid w:val="1A1964F4"/>
    <w:rsid w:val="1A576AE8"/>
    <w:rsid w:val="1A613F40"/>
    <w:rsid w:val="1A6450AE"/>
    <w:rsid w:val="1A6F3D1D"/>
    <w:rsid w:val="1A742AE7"/>
    <w:rsid w:val="1A8369AA"/>
    <w:rsid w:val="1A851E5E"/>
    <w:rsid w:val="1A976D8E"/>
    <w:rsid w:val="1A9A00BD"/>
    <w:rsid w:val="1A9F3526"/>
    <w:rsid w:val="1AB60854"/>
    <w:rsid w:val="1AB62259"/>
    <w:rsid w:val="1ADB5923"/>
    <w:rsid w:val="1ADF24BC"/>
    <w:rsid w:val="1AFB2F34"/>
    <w:rsid w:val="1B10178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B91E00"/>
    <w:rsid w:val="1BC0329E"/>
    <w:rsid w:val="1BC63DA4"/>
    <w:rsid w:val="1BC863D0"/>
    <w:rsid w:val="1C01157A"/>
    <w:rsid w:val="1C2F2E9F"/>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965D04"/>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90A2C"/>
    <w:rsid w:val="206B4A56"/>
    <w:rsid w:val="208701DC"/>
    <w:rsid w:val="20942936"/>
    <w:rsid w:val="20AD1511"/>
    <w:rsid w:val="20AE71CD"/>
    <w:rsid w:val="20BE481C"/>
    <w:rsid w:val="20C75587"/>
    <w:rsid w:val="20DD7EA1"/>
    <w:rsid w:val="20EC6F0D"/>
    <w:rsid w:val="20EF3849"/>
    <w:rsid w:val="21114D59"/>
    <w:rsid w:val="212707FC"/>
    <w:rsid w:val="21351C12"/>
    <w:rsid w:val="216D73A5"/>
    <w:rsid w:val="218D6398"/>
    <w:rsid w:val="21A82FAF"/>
    <w:rsid w:val="21C614F6"/>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E643BC"/>
    <w:rsid w:val="22FD581D"/>
    <w:rsid w:val="2308181B"/>
    <w:rsid w:val="231A6446"/>
    <w:rsid w:val="23200D04"/>
    <w:rsid w:val="23252F62"/>
    <w:rsid w:val="2329015A"/>
    <w:rsid w:val="233D41F6"/>
    <w:rsid w:val="233E1D9D"/>
    <w:rsid w:val="235A23F9"/>
    <w:rsid w:val="23690BF3"/>
    <w:rsid w:val="238A746E"/>
    <w:rsid w:val="23BD0EBB"/>
    <w:rsid w:val="23BD7A63"/>
    <w:rsid w:val="23CC0376"/>
    <w:rsid w:val="23D003FB"/>
    <w:rsid w:val="23E06FF0"/>
    <w:rsid w:val="23E47352"/>
    <w:rsid w:val="23F26B67"/>
    <w:rsid w:val="240E7BA3"/>
    <w:rsid w:val="241E1827"/>
    <w:rsid w:val="24321DFA"/>
    <w:rsid w:val="244B3815"/>
    <w:rsid w:val="24530C8F"/>
    <w:rsid w:val="24636547"/>
    <w:rsid w:val="24717D47"/>
    <w:rsid w:val="24737304"/>
    <w:rsid w:val="249C788A"/>
    <w:rsid w:val="24B550A2"/>
    <w:rsid w:val="24B82B32"/>
    <w:rsid w:val="24BB6D5B"/>
    <w:rsid w:val="24DC6375"/>
    <w:rsid w:val="24F755BB"/>
    <w:rsid w:val="24FA5375"/>
    <w:rsid w:val="25167458"/>
    <w:rsid w:val="251E581D"/>
    <w:rsid w:val="252A368C"/>
    <w:rsid w:val="253317B8"/>
    <w:rsid w:val="2537641D"/>
    <w:rsid w:val="253C3EF7"/>
    <w:rsid w:val="254D074A"/>
    <w:rsid w:val="2558795E"/>
    <w:rsid w:val="255E089E"/>
    <w:rsid w:val="257F5882"/>
    <w:rsid w:val="25987884"/>
    <w:rsid w:val="259C6F9A"/>
    <w:rsid w:val="25BF330D"/>
    <w:rsid w:val="25C27A7C"/>
    <w:rsid w:val="25C76039"/>
    <w:rsid w:val="25E31DB1"/>
    <w:rsid w:val="25F341F9"/>
    <w:rsid w:val="25FD4EFD"/>
    <w:rsid w:val="2603678D"/>
    <w:rsid w:val="26050C41"/>
    <w:rsid w:val="261A0D6A"/>
    <w:rsid w:val="263F4733"/>
    <w:rsid w:val="264826D8"/>
    <w:rsid w:val="26486C62"/>
    <w:rsid w:val="26581526"/>
    <w:rsid w:val="267B3EA6"/>
    <w:rsid w:val="26845C6C"/>
    <w:rsid w:val="269408C3"/>
    <w:rsid w:val="26A244E0"/>
    <w:rsid w:val="26AF5A72"/>
    <w:rsid w:val="26BE55EA"/>
    <w:rsid w:val="26C35476"/>
    <w:rsid w:val="26C762DB"/>
    <w:rsid w:val="26DC20E5"/>
    <w:rsid w:val="26F97745"/>
    <w:rsid w:val="270E3585"/>
    <w:rsid w:val="27154292"/>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62105"/>
    <w:rsid w:val="291D6CFF"/>
    <w:rsid w:val="291E564E"/>
    <w:rsid w:val="2931052C"/>
    <w:rsid w:val="29454998"/>
    <w:rsid w:val="295F2CEF"/>
    <w:rsid w:val="29624A82"/>
    <w:rsid w:val="29741CFA"/>
    <w:rsid w:val="297C2E49"/>
    <w:rsid w:val="298A7967"/>
    <w:rsid w:val="29941624"/>
    <w:rsid w:val="29950707"/>
    <w:rsid w:val="299554BA"/>
    <w:rsid w:val="29956056"/>
    <w:rsid w:val="29AA3C23"/>
    <w:rsid w:val="29BF59D6"/>
    <w:rsid w:val="29C53546"/>
    <w:rsid w:val="29C941A2"/>
    <w:rsid w:val="29EB49C9"/>
    <w:rsid w:val="29EF3FB8"/>
    <w:rsid w:val="29F12286"/>
    <w:rsid w:val="29FB2966"/>
    <w:rsid w:val="2A1D7695"/>
    <w:rsid w:val="2A2B2E5B"/>
    <w:rsid w:val="2A37472F"/>
    <w:rsid w:val="2A3A63BF"/>
    <w:rsid w:val="2A411009"/>
    <w:rsid w:val="2A48150B"/>
    <w:rsid w:val="2A4C0A1A"/>
    <w:rsid w:val="2A4C6A3D"/>
    <w:rsid w:val="2A59713C"/>
    <w:rsid w:val="2A633D38"/>
    <w:rsid w:val="2A655AFF"/>
    <w:rsid w:val="2A715DEA"/>
    <w:rsid w:val="2A770498"/>
    <w:rsid w:val="2A97631D"/>
    <w:rsid w:val="2A9F7442"/>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C566C7"/>
    <w:rsid w:val="2BC81736"/>
    <w:rsid w:val="2BDD3A53"/>
    <w:rsid w:val="2BE3479D"/>
    <w:rsid w:val="2BEA5DA8"/>
    <w:rsid w:val="2BF20979"/>
    <w:rsid w:val="2BFB3F34"/>
    <w:rsid w:val="2C19133D"/>
    <w:rsid w:val="2C1A1B3D"/>
    <w:rsid w:val="2C221397"/>
    <w:rsid w:val="2C81653D"/>
    <w:rsid w:val="2CB9247E"/>
    <w:rsid w:val="2CF42A2C"/>
    <w:rsid w:val="2CF5656A"/>
    <w:rsid w:val="2D1547AA"/>
    <w:rsid w:val="2D1C0C8B"/>
    <w:rsid w:val="2D244183"/>
    <w:rsid w:val="2D2F50C5"/>
    <w:rsid w:val="2D500625"/>
    <w:rsid w:val="2D511CF8"/>
    <w:rsid w:val="2D8E5DB3"/>
    <w:rsid w:val="2D9C231F"/>
    <w:rsid w:val="2D9F3C27"/>
    <w:rsid w:val="2DA55DA2"/>
    <w:rsid w:val="2DAB019F"/>
    <w:rsid w:val="2DB15F1B"/>
    <w:rsid w:val="2DE44B7D"/>
    <w:rsid w:val="2DE85A59"/>
    <w:rsid w:val="2E00515D"/>
    <w:rsid w:val="2E042AF3"/>
    <w:rsid w:val="2E153C96"/>
    <w:rsid w:val="2E1D043E"/>
    <w:rsid w:val="2E2C3CC9"/>
    <w:rsid w:val="2E2D39B2"/>
    <w:rsid w:val="2E3944DD"/>
    <w:rsid w:val="2E3A7BAD"/>
    <w:rsid w:val="2E5178FB"/>
    <w:rsid w:val="2E524DAC"/>
    <w:rsid w:val="2E553313"/>
    <w:rsid w:val="2E6C4C6B"/>
    <w:rsid w:val="2E753E09"/>
    <w:rsid w:val="2E760F81"/>
    <w:rsid w:val="2E7A64DB"/>
    <w:rsid w:val="2E7F0E45"/>
    <w:rsid w:val="2E816717"/>
    <w:rsid w:val="2EB774D0"/>
    <w:rsid w:val="2ED62883"/>
    <w:rsid w:val="2EE04406"/>
    <w:rsid w:val="2EE642AD"/>
    <w:rsid w:val="2F05447E"/>
    <w:rsid w:val="2F270CC8"/>
    <w:rsid w:val="2F3F6D21"/>
    <w:rsid w:val="2F427B64"/>
    <w:rsid w:val="2F7A7771"/>
    <w:rsid w:val="2F8E7570"/>
    <w:rsid w:val="2F9C52DF"/>
    <w:rsid w:val="2FA70B41"/>
    <w:rsid w:val="2FAE780E"/>
    <w:rsid w:val="2FD60B5D"/>
    <w:rsid w:val="2FDE2C49"/>
    <w:rsid w:val="2FEA61C6"/>
    <w:rsid w:val="2FF46A33"/>
    <w:rsid w:val="30024A46"/>
    <w:rsid w:val="30115DAB"/>
    <w:rsid w:val="30164ACC"/>
    <w:rsid w:val="301746AE"/>
    <w:rsid w:val="301A510E"/>
    <w:rsid w:val="30446691"/>
    <w:rsid w:val="30536DA5"/>
    <w:rsid w:val="30555F0B"/>
    <w:rsid w:val="305B18F9"/>
    <w:rsid w:val="306675DB"/>
    <w:rsid w:val="306F4A5C"/>
    <w:rsid w:val="30704F1E"/>
    <w:rsid w:val="30B74EB9"/>
    <w:rsid w:val="31075C26"/>
    <w:rsid w:val="31130579"/>
    <w:rsid w:val="31150AF7"/>
    <w:rsid w:val="312977F5"/>
    <w:rsid w:val="3140510D"/>
    <w:rsid w:val="31490B16"/>
    <w:rsid w:val="31500AF0"/>
    <w:rsid w:val="315B4F78"/>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B0B61"/>
    <w:rsid w:val="338C3ABE"/>
    <w:rsid w:val="339000A2"/>
    <w:rsid w:val="33A867A1"/>
    <w:rsid w:val="33BE0CB2"/>
    <w:rsid w:val="33C02706"/>
    <w:rsid w:val="33D21CA6"/>
    <w:rsid w:val="33EF31E8"/>
    <w:rsid w:val="33F133C2"/>
    <w:rsid w:val="33F943AC"/>
    <w:rsid w:val="341548E7"/>
    <w:rsid w:val="34302EC0"/>
    <w:rsid w:val="345A7961"/>
    <w:rsid w:val="3478149B"/>
    <w:rsid w:val="347A05C3"/>
    <w:rsid w:val="347E5080"/>
    <w:rsid w:val="348D4D75"/>
    <w:rsid w:val="34902CE5"/>
    <w:rsid w:val="34965FFC"/>
    <w:rsid w:val="349E0792"/>
    <w:rsid w:val="34AC38BB"/>
    <w:rsid w:val="34B475AD"/>
    <w:rsid w:val="34C1398D"/>
    <w:rsid w:val="34D33C1F"/>
    <w:rsid w:val="34DB71D0"/>
    <w:rsid w:val="34E077DE"/>
    <w:rsid w:val="34EB3FFA"/>
    <w:rsid w:val="34EF14B5"/>
    <w:rsid w:val="351911D3"/>
    <w:rsid w:val="351C58FB"/>
    <w:rsid w:val="35572F42"/>
    <w:rsid w:val="35597C68"/>
    <w:rsid w:val="35680A2A"/>
    <w:rsid w:val="35682CA4"/>
    <w:rsid w:val="356E5C0E"/>
    <w:rsid w:val="357375C4"/>
    <w:rsid w:val="357A743D"/>
    <w:rsid w:val="358B52B4"/>
    <w:rsid w:val="3596601A"/>
    <w:rsid w:val="35990A65"/>
    <w:rsid w:val="359D6299"/>
    <w:rsid w:val="35A6171B"/>
    <w:rsid w:val="35A82F5F"/>
    <w:rsid w:val="35B603F5"/>
    <w:rsid w:val="35CC2089"/>
    <w:rsid w:val="35EF1F65"/>
    <w:rsid w:val="35EF4E9F"/>
    <w:rsid w:val="36011B96"/>
    <w:rsid w:val="360D3064"/>
    <w:rsid w:val="3652616D"/>
    <w:rsid w:val="36553792"/>
    <w:rsid w:val="366046B9"/>
    <w:rsid w:val="366135C0"/>
    <w:rsid w:val="366A5627"/>
    <w:rsid w:val="36710AA2"/>
    <w:rsid w:val="36AC26B2"/>
    <w:rsid w:val="36C81B5B"/>
    <w:rsid w:val="36CA4796"/>
    <w:rsid w:val="36D305E5"/>
    <w:rsid w:val="36DE52DD"/>
    <w:rsid w:val="36EA7FF2"/>
    <w:rsid w:val="37017235"/>
    <w:rsid w:val="373D169F"/>
    <w:rsid w:val="374E143A"/>
    <w:rsid w:val="375145A6"/>
    <w:rsid w:val="37522485"/>
    <w:rsid w:val="37613C52"/>
    <w:rsid w:val="376F2885"/>
    <w:rsid w:val="377835C6"/>
    <w:rsid w:val="378E6BE1"/>
    <w:rsid w:val="37920A5A"/>
    <w:rsid w:val="37D66A01"/>
    <w:rsid w:val="37DD1744"/>
    <w:rsid w:val="37F25243"/>
    <w:rsid w:val="380255AF"/>
    <w:rsid w:val="38333626"/>
    <w:rsid w:val="384E441A"/>
    <w:rsid w:val="38506C2F"/>
    <w:rsid w:val="38660348"/>
    <w:rsid w:val="38803B23"/>
    <w:rsid w:val="38877CF7"/>
    <w:rsid w:val="38961914"/>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7B0BB4"/>
    <w:rsid w:val="399B3376"/>
    <w:rsid w:val="39A64195"/>
    <w:rsid w:val="39AF1465"/>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0F5F1E"/>
    <w:rsid w:val="3B183E18"/>
    <w:rsid w:val="3B215631"/>
    <w:rsid w:val="3B297D4A"/>
    <w:rsid w:val="3B2D6711"/>
    <w:rsid w:val="3B51309B"/>
    <w:rsid w:val="3B5A0155"/>
    <w:rsid w:val="3B80467F"/>
    <w:rsid w:val="3B883403"/>
    <w:rsid w:val="3B886626"/>
    <w:rsid w:val="3B954F85"/>
    <w:rsid w:val="3B9C0E95"/>
    <w:rsid w:val="3BA96A60"/>
    <w:rsid w:val="3BBD0AD4"/>
    <w:rsid w:val="3BFE5D03"/>
    <w:rsid w:val="3C0248C3"/>
    <w:rsid w:val="3C072215"/>
    <w:rsid w:val="3C0F6FA3"/>
    <w:rsid w:val="3C167592"/>
    <w:rsid w:val="3C170EB9"/>
    <w:rsid w:val="3C1841F3"/>
    <w:rsid w:val="3C250799"/>
    <w:rsid w:val="3C276162"/>
    <w:rsid w:val="3C2B1BD6"/>
    <w:rsid w:val="3C2C17DF"/>
    <w:rsid w:val="3C396A58"/>
    <w:rsid w:val="3C3A521C"/>
    <w:rsid w:val="3C4C2153"/>
    <w:rsid w:val="3C557194"/>
    <w:rsid w:val="3C663D83"/>
    <w:rsid w:val="3C714A0F"/>
    <w:rsid w:val="3C762FBC"/>
    <w:rsid w:val="3C87779E"/>
    <w:rsid w:val="3C9108DC"/>
    <w:rsid w:val="3C9B215F"/>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851633"/>
    <w:rsid w:val="3D875BB8"/>
    <w:rsid w:val="3D9E75FC"/>
    <w:rsid w:val="3DBF1661"/>
    <w:rsid w:val="3E051FCE"/>
    <w:rsid w:val="3E1756B6"/>
    <w:rsid w:val="3E2048C2"/>
    <w:rsid w:val="3E28471D"/>
    <w:rsid w:val="3E3F34AC"/>
    <w:rsid w:val="3E42659A"/>
    <w:rsid w:val="3E4452CF"/>
    <w:rsid w:val="3E4C632F"/>
    <w:rsid w:val="3E5E3BF8"/>
    <w:rsid w:val="3E5F70CE"/>
    <w:rsid w:val="3E610DA9"/>
    <w:rsid w:val="3E645172"/>
    <w:rsid w:val="3E6F38A3"/>
    <w:rsid w:val="3E701062"/>
    <w:rsid w:val="3E77442B"/>
    <w:rsid w:val="3EAC39B4"/>
    <w:rsid w:val="3EC11BF7"/>
    <w:rsid w:val="3EE92873"/>
    <w:rsid w:val="3EF169DA"/>
    <w:rsid w:val="3EF93089"/>
    <w:rsid w:val="3EFD3948"/>
    <w:rsid w:val="3F0E4239"/>
    <w:rsid w:val="3F127531"/>
    <w:rsid w:val="3F2B4E96"/>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A08E3"/>
    <w:rsid w:val="3FDD44BD"/>
    <w:rsid w:val="3FEE70B9"/>
    <w:rsid w:val="4016105A"/>
    <w:rsid w:val="4047419F"/>
    <w:rsid w:val="40506241"/>
    <w:rsid w:val="40507088"/>
    <w:rsid w:val="40511B29"/>
    <w:rsid w:val="40525CFA"/>
    <w:rsid w:val="405666DE"/>
    <w:rsid w:val="405A164D"/>
    <w:rsid w:val="405A2653"/>
    <w:rsid w:val="40622EEA"/>
    <w:rsid w:val="407D09B4"/>
    <w:rsid w:val="40892F96"/>
    <w:rsid w:val="408E1F25"/>
    <w:rsid w:val="40927306"/>
    <w:rsid w:val="409D774F"/>
    <w:rsid w:val="40A22DA0"/>
    <w:rsid w:val="40A354E5"/>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C30FBB"/>
    <w:rsid w:val="41CA3305"/>
    <w:rsid w:val="41CC6A6E"/>
    <w:rsid w:val="41D46746"/>
    <w:rsid w:val="41DD294D"/>
    <w:rsid w:val="41E50241"/>
    <w:rsid w:val="41ED6B4B"/>
    <w:rsid w:val="42065175"/>
    <w:rsid w:val="42162288"/>
    <w:rsid w:val="42203DE5"/>
    <w:rsid w:val="423339AE"/>
    <w:rsid w:val="423527EB"/>
    <w:rsid w:val="42400071"/>
    <w:rsid w:val="42623E1B"/>
    <w:rsid w:val="42702AE2"/>
    <w:rsid w:val="427A3AB6"/>
    <w:rsid w:val="427B2568"/>
    <w:rsid w:val="427B6090"/>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B0A40"/>
    <w:rsid w:val="43715519"/>
    <w:rsid w:val="437B5074"/>
    <w:rsid w:val="437E400B"/>
    <w:rsid w:val="43993698"/>
    <w:rsid w:val="439C3F24"/>
    <w:rsid w:val="43B31196"/>
    <w:rsid w:val="43BB720C"/>
    <w:rsid w:val="43BC335F"/>
    <w:rsid w:val="43C92B32"/>
    <w:rsid w:val="43E85BAE"/>
    <w:rsid w:val="43EB7ACC"/>
    <w:rsid w:val="43FC1AB4"/>
    <w:rsid w:val="44051BB9"/>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836B41"/>
    <w:rsid w:val="45A94557"/>
    <w:rsid w:val="45BA3A93"/>
    <w:rsid w:val="45BC2D40"/>
    <w:rsid w:val="45D32B9D"/>
    <w:rsid w:val="45D51F09"/>
    <w:rsid w:val="45E335B5"/>
    <w:rsid w:val="45FF0921"/>
    <w:rsid w:val="46072FDC"/>
    <w:rsid w:val="460A17B0"/>
    <w:rsid w:val="460B44C8"/>
    <w:rsid w:val="46116FEE"/>
    <w:rsid w:val="46136A51"/>
    <w:rsid w:val="46144FA7"/>
    <w:rsid w:val="461F3C01"/>
    <w:rsid w:val="462D4AD7"/>
    <w:rsid w:val="463E6D3E"/>
    <w:rsid w:val="46566AA9"/>
    <w:rsid w:val="465A0A2F"/>
    <w:rsid w:val="46661558"/>
    <w:rsid w:val="466A3548"/>
    <w:rsid w:val="466C4AED"/>
    <w:rsid w:val="46967F5B"/>
    <w:rsid w:val="46B05B1F"/>
    <w:rsid w:val="46B35E11"/>
    <w:rsid w:val="46B952B6"/>
    <w:rsid w:val="46BA27BC"/>
    <w:rsid w:val="46BC6770"/>
    <w:rsid w:val="46C1708C"/>
    <w:rsid w:val="46CF7E90"/>
    <w:rsid w:val="46D13DB8"/>
    <w:rsid w:val="46D86573"/>
    <w:rsid w:val="470B6B70"/>
    <w:rsid w:val="4723522B"/>
    <w:rsid w:val="47240834"/>
    <w:rsid w:val="474378DF"/>
    <w:rsid w:val="47486CC0"/>
    <w:rsid w:val="47546CCD"/>
    <w:rsid w:val="475567CD"/>
    <w:rsid w:val="475B3DA3"/>
    <w:rsid w:val="478039D4"/>
    <w:rsid w:val="479E642E"/>
    <w:rsid w:val="47A20A59"/>
    <w:rsid w:val="47B5458F"/>
    <w:rsid w:val="47C1238D"/>
    <w:rsid w:val="47CB0AA5"/>
    <w:rsid w:val="47E246F7"/>
    <w:rsid w:val="47E76F91"/>
    <w:rsid w:val="47FF0DAF"/>
    <w:rsid w:val="48030380"/>
    <w:rsid w:val="480C189F"/>
    <w:rsid w:val="48185A6B"/>
    <w:rsid w:val="48273A4D"/>
    <w:rsid w:val="483F2C13"/>
    <w:rsid w:val="48490C72"/>
    <w:rsid w:val="484A471E"/>
    <w:rsid w:val="485162E7"/>
    <w:rsid w:val="48557869"/>
    <w:rsid w:val="48560B58"/>
    <w:rsid w:val="48583F28"/>
    <w:rsid w:val="48615205"/>
    <w:rsid w:val="486B3599"/>
    <w:rsid w:val="486D0456"/>
    <w:rsid w:val="486F3FB1"/>
    <w:rsid w:val="487452ED"/>
    <w:rsid w:val="48936FC5"/>
    <w:rsid w:val="489414DE"/>
    <w:rsid w:val="48A61185"/>
    <w:rsid w:val="48D17B15"/>
    <w:rsid w:val="48F814A8"/>
    <w:rsid w:val="491171A1"/>
    <w:rsid w:val="49146B04"/>
    <w:rsid w:val="49150DB8"/>
    <w:rsid w:val="4927647B"/>
    <w:rsid w:val="492C5797"/>
    <w:rsid w:val="494814C8"/>
    <w:rsid w:val="495B4299"/>
    <w:rsid w:val="495F48E7"/>
    <w:rsid w:val="49804F41"/>
    <w:rsid w:val="499C2D6D"/>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7E2F03"/>
    <w:rsid w:val="4C854697"/>
    <w:rsid w:val="4C8C21FB"/>
    <w:rsid w:val="4C947F1F"/>
    <w:rsid w:val="4C9D08B4"/>
    <w:rsid w:val="4CA66198"/>
    <w:rsid w:val="4CAA102F"/>
    <w:rsid w:val="4CB14655"/>
    <w:rsid w:val="4CB33E17"/>
    <w:rsid w:val="4CBB239E"/>
    <w:rsid w:val="4CC80B92"/>
    <w:rsid w:val="4CC92C3A"/>
    <w:rsid w:val="4CE01489"/>
    <w:rsid w:val="4CE87159"/>
    <w:rsid w:val="4CEB74B6"/>
    <w:rsid w:val="4CF50A59"/>
    <w:rsid w:val="4CF8202F"/>
    <w:rsid w:val="4CFD4AAA"/>
    <w:rsid w:val="4D182801"/>
    <w:rsid w:val="4D1836FB"/>
    <w:rsid w:val="4D533AAF"/>
    <w:rsid w:val="4D665494"/>
    <w:rsid w:val="4D6F1CC9"/>
    <w:rsid w:val="4D79073E"/>
    <w:rsid w:val="4D7B0185"/>
    <w:rsid w:val="4D9E34B9"/>
    <w:rsid w:val="4DBF6851"/>
    <w:rsid w:val="4DC73C39"/>
    <w:rsid w:val="4DC90683"/>
    <w:rsid w:val="4DC94ACF"/>
    <w:rsid w:val="4DE047C5"/>
    <w:rsid w:val="4DE54991"/>
    <w:rsid w:val="4DF05258"/>
    <w:rsid w:val="4E09036F"/>
    <w:rsid w:val="4E252D2A"/>
    <w:rsid w:val="4E3F795C"/>
    <w:rsid w:val="4E40707C"/>
    <w:rsid w:val="4E42373A"/>
    <w:rsid w:val="4E50145C"/>
    <w:rsid w:val="4E507D99"/>
    <w:rsid w:val="4E8D2056"/>
    <w:rsid w:val="4EBB286E"/>
    <w:rsid w:val="4EC10C73"/>
    <w:rsid w:val="4ED21F42"/>
    <w:rsid w:val="4EE07940"/>
    <w:rsid w:val="4EF3528B"/>
    <w:rsid w:val="4EF647A8"/>
    <w:rsid w:val="4F093E78"/>
    <w:rsid w:val="4F1E444B"/>
    <w:rsid w:val="4F262164"/>
    <w:rsid w:val="4F280A7B"/>
    <w:rsid w:val="4F2A17DD"/>
    <w:rsid w:val="4F2B223C"/>
    <w:rsid w:val="4F2C416E"/>
    <w:rsid w:val="4F3B0396"/>
    <w:rsid w:val="4F4D0E89"/>
    <w:rsid w:val="4F5464CE"/>
    <w:rsid w:val="4F55307E"/>
    <w:rsid w:val="4F6F5219"/>
    <w:rsid w:val="4F8E4B27"/>
    <w:rsid w:val="4F907AA4"/>
    <w:rsid w:val="4FA60918"/>
    <w:rsid w:val="4FB476B5"/>
    <w:rsid w:val="4FBC4BF4"/>
    <w:rsid w:val="4FD65B1E"/>
    <w:rsid w:val="50051405"/>
    <w:rsid w:val="500832F8"/>
    <w:rsid w:val="501136F0"/>
    <w:rsid w:val="502256AD"/>
    <w:rsid w:val="504215FA"/>
    <w:rsid w:val="50451DB7"/>
    <w:rsid w:val="504B791D"/>
    <w:rsid w:val="50754C44"/>
    <w:rsid w:val="50777297"/>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4516F1"/>
    <w:rsid w:val="5154565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2A02BC"/>
    <w:rsid w:val="52414306"/>
    <w:rsid w:val="524312B8"/>
    <w:rsid w:val="52457AEB"/>
    <w:rsid w:val="52564EE5"/>
    <w:rsid w:val="52666F95"/>
    <w:rsid w:val="526763FB"/>
    <w:rsid w:val="52741EC2"/>
    <w:rsid w:val="5274205C"/>
    <w:rsid w:val="53034162"/>
    <w:rsid w:val="53202F66"/>
    <w:rsid w:val="53336AAE"/>
    <w:rsid w:val="533A136C"/>
    <w:rsid w:val="53480B19"/>
    <w:rsid w:val="5355264E"/>
    <w:rsid w:val="535F2BBA"/>
    <w:rsid w:val="536504C6"/>
    <w:rsid w:val="537C67BA"/>
    <w:rsid w:val="53AF337A"/>
    <w:rsid w:val="53B26284"/>
    <w:rsid w:val="53B759F4"/>
    <w:rsid w:val="53D012CF"/>
    <w:rsid w:val="53D225A4"/>
    <w:rsid w:val="53DF4479"/>
    <w:rsid w:val="53FD46F3"/>
    <w:rsid w:val="54157C9B"/>
    <w:rsid w:val="54186AD3"/>
    <w:rsid w:val="54371F77"/>
    <w:rsid w:val="5438608E"/>
    <w:rsid w:val="543B112A"/>
    <w:rsid w:val="544A4D29"/>
    <w:rsid w:val="54547B86"/>
    <w:rsid w:val="5459550C"/>
    <w:rsid w:val="545E0121"/>
    <w:rsid w:val="546A3396"/>
    <w:rsid w:val="54760B52"/>
    <w:rsid w:val="5481317B"/>
    <w:rsid w:val="5494027A"/>
    <w:rsid w:val="54A21918"/>
    <w:rsid w:val="54AA76FF"/>
    <w:rsid w:val="54AC3199"/>
    <w:rsid w:val="54B92F65"/>
    <w:rsid w:val="54DA00AC"/>
    <w:rsid w:val="54DE5937"/>
    <w:rsid w:val="54E05AE9"/>
    <w:rsid w:val="54E75170"/>
    <w:rsid w:val="54E82ECC"/>
    <w:rsid w:val="54FB3C17"/>
    <w:rsid w:val="55023D6F"/>
    <w:rsid w:val="551765D7"/>
    <w:rsid w:val="551D6AC8"/>
    <w:rsid w:val="55220DA5"/>
    <w:rsid w:val="55272CCA"/>
    <w:rsid w:val="552B579B"/>
    <w:rsid w:val="55487F01"/>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C00D78"/>
    <w:rsid w:val="56DA0859"/>
    <w:rsid w:val="56DC35DD"/>
    <w:rsid w:val="56E17318"/>
    <w:rsid w:val="56FD590E"/>
    <w:rsid w:val="56FE257B"/>
    <w:rsid w:val="57036880"/>
    <w:rsid w:val="57110754"/>
    <w:rsid w:val="57305E26"/>
    <w:rsid w:val="57314C5A"/>
    <w:rsid w:val="574A5794"/>
    <w:rsid w:val="57540F95"/>
    <w:rsid w:val="575A261C"/>
    <w:rsid w:val="57A6426A"/>
    <w:rsid w:val="57B21B09"/>
    <w:rsid w:val="57BF0950"/>
    <w:rsid w:val="57C516B8"/>
    <w:rsid w:val="57E01724"/>
    <w:rsid w:val="57F307C1"/>
    <w:rsid w:val="57FA2BAA"/>
    <w:rsid w:val="580162E5"/>
    <w:rsid w:val="58041F34"/>
    <w:rsid w:val="5815497A"/>
    <w:rsid w:val="581C6799"/>
    <w:rsid w:val="58327181"/>
    <w:rsid w:val="584D4B72"/>
    <w:rsid w:val="585D149C"/>
    <w:rsid w:val="586621B6"/>
    <w:rsid w:val="589C683B"/>
    <w:rsid w:val="58B9588A"/>
    <w:rsid w:val="58C14572"/>
    <w:rsid w:val="58C73AD7"/>
    <w:rsid w:val="58DA2920"/>
    <w:rsid w:val="58F020A3"/>
    <w:rsid w:val="58FB332B"/>
    <w:rsid w:val="59130297"/>
    <w:rsid w:val="591B0C73"/>
    <w:rsid w:val="59505A7A"/>
    <w:rsid w:val="59540A82"/>
    <w:rsid w:val="59594578"/>
    <w:rsid w:val="59631729"/>
    <w:rsid w:val="597D5576"/>
    <w:rsid w:val="598A7A09"/>
    <w:rsid w:val="599369C5"/>
    <w:rsid w:val="59B33075"/>
    <w:rsid w:val="59B63D96"/>
    <w:rsid w:val="59B753F9"/>
    <w:rsid w:val="59BA3374"/>
    <w:rsid w:val="59C13ED2"/>
    <w:rsid w:val="59E6253A"/>
    <w:rsid w:val="59E7033F"/>
    <w:rsid w:val="5A01705E"/>
    <w:rsid w:val="5A0354F7"/>
    <w:rsid w:val="5A1E5359"/>
    <w:rsid w:val="5A291824"/>
    <w:rsid w:val="5A344ECC"/>
    <w:rsid w:val="5A390B46"/>
    <w:rsid w:val="5A492723"/>
    <w:rsid w:val="5A5D74BC"/>
    <w:rsid w:val="5A7C5C8F"/>
    <w:rsid w:val="5A90403D"/>
    <w:rsid w:val="5A9D71ED"/>
    <w:rsid w:val="5AA2571A"/>
    <w:rsid w:val="5AB04EDE"/>
    <w:rsid w:val="5AC64C86"/>
    <w:rsid w:val="5ACF4A76"/>
    <w:rsid w:val="5AD51064"/>
    <w:rsid w:val="5ADE295C"/>
    <w:rsid w:val="5AF8170C"/>
    <w:rsid w:val="5B05555C"/>
    <w:rsid w:val="5B117908"/>
    <w:rsid w:val="5B1649CC"/>
    <w:rsid w:val="5B244DD8"/>
    <w:rsid w:val="5B2717CA"/>
    <w:rsid w:val="5B295890"/>
    <w:rsid w:val="5B2E4556"/>
    <w:rsid w:val="5B340B86"/>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75D0"/>
    <w:rsid w:val="5C66589F"/>
    <w:rsid w:val="5C7D3D43"/>
    <w:rsid w:val="5C882C4F"/>
    <w:rsid w:val="5C8962BA"/>
    <w:rsid w:val="5CA70B0A"/>
    <w:rsid w:val="5CBD523A"/>
    <w:rsid w:val="5CCD31A9"/>
    <w:rsid w:val="5CD2475E"/>
    <w:rsid w:val="5CF86CAE"/>
    <w:rsid w:val="5D084A68"/>
    <w:rsid w:val="5D0B3776"/>
    <w:rsid w:val="5D1141F9"/>
    <w:rsid w:val="5D301FF8"/>
    <w:rsid w:val="5D443020"/>
    <w:rsid w:val="5D47572E"/>
    <w:rsid w:val="5D485FD5"/>
    <w:rsid w:val="5D487E79"/>
    <w:rsid w:val="5D4E7267"/>
    <w:rsid w:val="5D516A2D"/>
    <w:rsid w:val="5D65410C"/>
    <w:rsid w:val="5D6C5E39"/>
    <w:rsid w:val="5D71281A"/>
    <w:rsid w:val="5D7D662C"/>
    <w:rsid w:val="5D9134AB"/>
    <w:rsid w:val="5D954FBB"/>
    <w:rsid w:val="5D9C6762"/>
    <w:rsid w:val="5DAE6B61"/>
    <w:rsid w:val="5DE847B7"/>
    <w:rsid w:val="5DEE4E88"/>
    <w:rsid w:val="5E0779FA"/>
    <w:rsid w:val="5E1D5BB1"/>
    <w:rsid w:val="5E1D5F77"/>
    <w:rsid w:val="5E234035"/>
    <w:rsid w:val="5E36363E"/>
    <w:rsid w:val="5E4F7B9F"/>
    <w:rsid w:val="5E751A3D"/>
    <w:rsid w:val="5E7762CF"/>
    <w:rsid w:val="5E8460C1"/>
    <w:rsid w:val="5EAF768B"/>
    <w:rsid w:val="5EBF574D"/>
    <w:rsid w:val="5EC9135A"/>
    <w:rsid w:val="5ED13367"/>
    <w:rsid w:val="5ED14E5B"/>
    <w:rsid w:val="5EDA14B9"/>
    <w:rsid w:val="5EF04B7B"/>
    <w:rsid w:val="5EFF3DE0"/>
    <w:rsid w:val="5F106EAF"/>
    <w:rsid w:val="5F283CA5"/>
    <w:rsid w:val="5F305F32"/>
    <w:rsid w:val="5F425A26"/>
    <w:rsid w:val="5F4E3CB5"/>
    <w:rsid w:val="5F71550B"/>
    <w:rsid w:val="5F78456F"/>
    <w:rsid w:val="5F7D1E64"/>
    <w:rsid w:val="5F9374D0"/>
    <w:rsid w:val="5FB50836"/>
    <w:rsid w:val="5FB63089"/>
    <w:rsid w:val="5FDA48B5"/>
    <w:rsid w:val="5FE25384"/>
    <w:rsid w:val="5FE875BC"/>
    <w:rsid w:val="60317144"/>
    <w:rsid w:val="60671E65"/>
    <w:rsid w:val="607562A7"/>
    <w:rsid w:val="608664A5"/>
    <w:rsid w:val="608C7B28"/>
    <w:rsid w:val="608F41F2"/>
    <w:rsid w:val="608F48B0"/>
    <w:rsid w:val="60934545"/>
    <w:rsid w:val="609E6925"/>
    <w:rsid w:val="60BA77CD"/>
    <w:rsid w:val="60C63F24"/>
    <w:rsid w:val="60CA2B58"/>
    <w:rsid w:val="60D12704"/>
    <w:rsid w:val="60E473A6"/>
    <w:rsid w:val="60EC7957"/>
    <w:rsid w:val="60F80C2F"/>
    <w:rsid w:val="613468C2"/>
    <w:rsid w:val="613A48D5"/>
    <w:rsid w:val="61487E7F"/>
    <w:rsid w:val="614C4BCD"/>
    <w:rsid w:val="614F6149"/>
    <w:rsid w:val="61572E4F"/>
    <w:rsid w:val="616128EC"/>
    <w:rsid w:val="616720C6"/>
    <w:rsid w:val="61725619"/>
    <w:rsid w:val="617E294F"/>
    <w:rsid w:val="618649E8"/>
    <w:rsid w:val="619104F5"/>
    <w:rsid w:val="61AB7C65"/>
    <w:rsid w:val="61AD7969"/>
    <w:rsid w:val="61C3512C"/>
    <w:rsid w:val="61DB7979"/>
    <w:rsid w:val="61DE2022"/>
    <w:rsid w:val="61E810F3"/>
    <w:rsid w:val="62073433"/>
    <w:rsid w:val="620B3059"/>
    <w:rsid w:val="620D753C"/>
    <w:rsid w:val="62181D46"/>
    <w:rsid w:val="626B7791"/>
    <w:rsid w:val="62721747"/>
    <w:rsid w:val="628762A4"/>
    <w:rsid w:val="628875C0"/>
    <w:rsid w:val="628C2933"/>
    <w:rsid w:val="628C4312"/>
    <w:rsid w:val="62AA703F"/>
    <w:rsid w:val="62AB1D8D"/>
    <w:rsid w:val="62C42917"/>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3E75637"/>
    <w:rsid w:val="640434E5"/>
    <w:rsid w:val="64185C22"/>
    <w:rsid w:val="643B275E"/>
    <w:rsid w:val="64411A38"/>
    <w:rsid w:val="64587275"/>
    <w:rsid w:val="646A5BED"/>
    <w:rsid w:val="64C4485F"/>
    <w:rsid w:val="64DA076B"/>
    <w:rsid w:val="64E36924"/>
    <w:rsid w:val="64E52F1E"/>
    <w:rsid w:val="64E9112D"/>
    <w:rsid w:val="64FF62B0"/>
    <w:rsid w:val="65014155"/>
    <w:rsid w:val="65142B38"/>
    <w:rsid w:val="6520621E"/>
    <w:rsid w:val="653D68E6"/>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4E7C4A"/>
    <w:rsid w:val="67517AFA"/>
    <w:rsid w:val="67805AAD"/>
    <w:rsid w:val="679D6F60"/>
    <w:rsid w:val="67AB1B26"/>
    <w:rsid w:val="67B265D1"/>
    <w:rsid w:val="67B30E44"/>
    <w:rsid w:val="67C23B71"/>
    <w:rsid w:val="67C501C3"/>
    <w:rsid w:val="67E55296"/>
    <w:rsid w:val="67E87F7F"/>
    <w:rsid w:val="67EF5410"/>
    <w:rsid w:val="68080A2F"/>
    <w:rsid w:val="680B1697"/>
    <w:rsid w:val="681E7CFD"/>
    <w:rsid w:val="68221B5F"/>
    <w:rsid w:val="682633F9"/>
    <w:rsid w:val="68270406"/>
    <w:rsid w:val="68273145"/>
    <w:rsid w:val="682A5BF7"/>
    <w:rsid w:val="6836747E"/>
    <w:rsid w:val="68535738"/>
    <w:rsid w:val="68721156"/>
    <w:rsid w:val="687C423F"/>
    <w:rsid w:val="68C25D28"/>
    <w:rsid w:val="68D033F3"/>
    <w:rsid w:val="68DC689F"/>
    <w:rsid w:val="68DE0CB1"/>
    <w:rsid w:val="68E0170A"/>
    <w:rsid w:val="68F302CC"/>
    <w:rsid w:val="69123CE1"/>
    <w:rsid w:val="69141C2E"/>
    <w:rsid w:val="69184264"/>
    <w:rsid w:val="693350FB"/>
    <w:rsid w:val="695479FA"/>
    <w:rsid w:val="696F1E02"/>
    <w:rsid w:val="69762AAC"/>
    <w:rsid w:val="697826BD"/>
    <w:rsid w:val="69874F79"/>
    <w:rsid w:val="69997553"/>
    <w:rsid w:val="69AA23F5"/>
    <w:rsid w:val="69BF7EC3"/>
    <w:rsid w:val="69D330B4"/>
    <w:rsid w:val="69F432B5"/>
    <w:rsid w:val="6A2835EC"/>
    <w:rsid w:val="6A291175"/>
    <w:rsid w:val="6A2C34AA"/>
    <w:rsid w:val="6A6459AF"/>
    <w:rsid w:val="6A740236"/>
    <w:rsid w:val="6A820F91"/>
    <w:rsid w:val="6A824374"/>
    <w:rsid w:val="6A87407F"/>
    <w:rsid w:val="6A99127D"/>
    <w:rsid w:val="6AB8004E"/>
    <w:rsid w:val="6AB861B4"/>
    <w:rsid w:val="6AD414D7"/>
    <w:rsid w:val="6AD96CB7"/>
    <w:rsid w:val="6B0F3C1E"/>
    <w:rsid w:val="6B13077A"/>
    <w:rsid w:val="6B1424DD"/>
    <w:rsid w:val="6B221E5F"/>
    <w:rsid w:val="6B272595"/>
    <w:rsid w:val="6B2B1CE6"/>
    <w:rsid w:val="6B2F5E6F"/>
    <w:rsid w:val="6B4629BA"/>
    <w:rsid w:val="6B4C3CF7"/>
    <w:rsid w:val="6B5B3140"/>
    <w:rsid w:val="6B6B5CD2"/>
    <w:rsid w:val="6B711394"/>
    <w:rsid w:val="6B7C0E69"/>
    <w:rsid w:val="6B831059"/>
    <w:rsid w:val="6B882178"/>
    <w:rsid w:val="6BA078E7"/>
    <w:rsid w:val="6BB36B04"/>
    <w:rsid w:val="6BC576AE"/>
    <w:rsid w:val="6BC82F86"/>
    <w:rsid w:val="6BCC1277"/>
    <w:rsid w:val="6BEA1F9C"/>
    <w:rsid w:val="6BFC4F57"/>
    <w:rsid w:val="6C1F76C2"/>
    <w:rsid w:val="6C24541E"/>
    <w:rsid w:val="6C4D2CE9"/>
    <w:rsid w:val="6C4E1244"/>
    <w:rsid w:val="6C51299F"/>
    <w:rsid w:val="6C536837"/>
    <w:rsid w:val="6C5B6EEC"/>
    <w:rsid w:val="6C5D2D2B"/>
    <w:rsid w:val="6C69192F"/>
    <w:rsid w:val="6C6E3EA2"/>
    <w:rsid w:val="6C7765FE"/>
    <w:rsid w:val="6C8008DC"/>
    <w:rsid w:val="6CAA5E4D"/>
    <w:rsid w:val="6CAF3DE3"/>
    <w:rsid w:val="6CC432F0"/>
    <w:rsid w:val="6CC60DC9"/>
    <w:rsid w:val="6CD44DB3"/>
    <w:rsid w:val="6CDC7845"/>
    <w:rsid w:val="6CE31305"/>
    <w:rsid w:val="6D000FC4"/>
    <w:rsid w:val="6D031778"/>
    <w:rsid w:val="6D08005D"/>
    <w:rsid w:val="6D0A7C83"/>
    <w:rsid w:val="6D106FB7"/>
    <w:rsid w:val="6D157FC8"/>
    <w:rsid w:val="6D1C3F9C"/>
    <w:rsid w:val="6D2B7848"/>
    <w:rsid w:val="6D475304"/>
    <w:rsid w:val="6D4A67A4"/>
    <w:rsid w:val="6D517127"/>
    <w:rsid w:val="6D582717"/>
    <w:rsid w:val="6D5D5CC1"/>
    <w:rsid w:val="6D6B744D"/>
    <w:rsid w:val="6D955502"/>
    <w:rsid w:val="6DA07DE7"/>
    <w:rsid w:val="6DA721E6"/>
    <w:rsid w:val="6DBE5CD2"/>
    <w:rsid w:val="6DE374BA"/>
    <w:rsid w:val="6DEC6B1D"/>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D1161B"/>
    <w:rsid w:val="6EFD5C0F"/>
    <w:rsid w:val="6F0211AE"/>
    <w:rsid w:val="6F081FAF"/>
    <w:rsid w:val="6F252E0D"/>
    <w:rsid w:val="6F257D94"/>
    <w:rsid w:val="6F6216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2D5211"/>
    <w:rsid w:val="70306C17"/>
    <w:rsid w:val="706C017D"/>
    <w:rsid w:val="70754C0A"/>
    <w:rsid w:val="70810F20"/>
    <w:rsid w:val="70984F7D"/>
    <w:rsid w:val="709970EF"/>
    <w:rsid w:val="709C1A8C"/>
    <w:rsid w:val="70B27B70"/>
    <w:rsid w:val="70BA564E"/>
    <w:rsid w:val="70CE09C3"/>
    <w:rsid w:val="70E306DF"/>
    <w:rsid w:val="70E41A32"/>
    <w:rsid w:val="71147566"/>
    <w:rsid w:val="71205936"/>
    <w:rsid w:val="71287630"/>
    <w:rsid w:val="712C1AEB"/>
    <w:rsid w:val="713148BC"/>
    <w:rsid w:val="71371CF9"/>
    <w:rsid w:val="713E5AE7"/>
    <w:rsid w:val="716F1C44"/>
    <w:rsid w:val="717E7A69"/>
    <w:rsid w:val="71806D32"/>
    <w:rsid w:val="71927E43"/>
    <w:rsid w:val="71AD6FAE"/>
    <w:rsid w:val="71AE30B5"/>
    <w:rsid w:val="71C27EC8"/>
    <w:rsid w:val="71C33DD0"/>
    <w:rsid w:val="71CB7AB3"/>
    <w:rsid w:val="71FB10E2"/>
    <w:rsid w:val="72005AE6"/>
    <w:rsid w:val="720E57EF"/>
    <w:rsid w:val="72104AC2"/>
    <w:rsid w:val="72124041"/>
    <w:rsid w:val="72135B21"/>
    <w:rsid w:val="721601E1"/>
    <w:rsid w:val="72337620"/>
    <w:rsid w:val="723F5BDB"/>
    <w:rsid w:val="72570EA7"/>
    <w:rsid w:val="725F047E"/>
    <w:rsid w:val="72726B56"/>
    <w:rsid w:val="727355E2"/>
    <w:rsid w:val="72A11E23"/>
    <w:rsid w:val="72A322A5"/>
    <w:rsid w:val="72AF0917"/>
    <w:rsid w:val="72B3210B"/>
    <w:rsid w:val="72CF7ADB"/>
    <w:rsid w:val="72E75951"/>
    <w:rsid w:val="72E91B02"/>
    <w:rsid w:val="72F9284C"/>
    <w:rsid w:val="72FF3233"/>
    <w:rsid w:val="73141659"/>
    <w:rsid w:val="732650C3"/>
    <w:rsid w:val="733C616F"/>
    <w:rsid w:val="7340334A"/>
    <w:rsid w:val="734A7EB9"/>
    <w:rsid w:val="73586DC3"/>
    <w:rsid w:val="735B05AA"/>
    <w:rsid w:val="7367676C"/>
    <w:rsid w:val="736811C4"/>
    <w:rsid w:val="73725CC7"/>
    <w:rsid w:val="739B35DE"/>
    <w:rsid w:val="73B3455A"/>
    <w:rsid w:val="73DA0AAB"/>
    <w:rsid w:val="73FA2A89"/>
    <w:rsid w:val="73FF32CB"/>
    <w:rsid w:val="7405758D"/>
    <w:rsid w:val="740C73F0"/>
    <w:rsid w:val="74301EA6"/>
    <w:rsid w:val="74386E56"/>
    <w:rsid w:val="7439010A"/>
    <w:rsid w:val="74622F2F"/>
    <w:rsid w:val="74682E1C"/>
    <w:rsid w:val="7497088D"/>
    <w:rsid w:val="74A30572"/>
    <w:rsid w:val="74AE2BAB"/>
    <w:rsid w:val="74C73FE3"/>
    <w:rsid w:val="74DC5A55"/>
    <w:rsid w:val="74E71A82"/>
    <w:rsid w:val="74F64E3F"/>
    <w:rsid w:val="74FD1B30"/>
    <w:rsid w:val="751D0E17"/>
    <w:rsid w:val="754A05DC"/>
    <w:rsid w:val="75942A40"/>
    <w:rsid w:val="75A023F2"/>
    <w:rsid w:val="75C5780F"/>
    <w:rsid w:val="75D41993"/>
    <w:rsid w:val="75FB2A56"/>
    <w:rsid w:val="75FF18EA"/>
    <w:rsid w:val="76023351"/>
    <w:rsid w:val="761730DD"/>
    <w:rsid w:val="762514F1"/>
    <w:rsid w:val="762A1730"/>
    <w:rsid w:val="762C5C47"/>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8C04E9"/>
    <w:rsid w:val="778F2765"/>
    <w:rsid w:val="77B360B7"/>
    <w:rsid w:val="77B65AA5"/>
    <w:rsid w:val="77BD2AA6"/>
    <w:rsid w:val="77E22291"/>
    <w:rsid w:val="77E64251"/>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327BE3"/>
    <w:rsid w:val="793423B9"/>
    <w:rsid w:val="794674FF"/>
    <w:rsid w:val="794F5E9D"/>
    <w:rsid w:val="7950305C"/>
    <w:rsid w:val="79596ED9"/>
    <w:rsid w:val="795F7A95"/>
    <w:rsid w:val="796606AB"/>
    <w:rsid w:val="797279F9"/>
    <w:rsid w:val="798B6440"/>
    <w:rsid w:val="79976759"/>
    <w:rsid w:val="799C0BFC"/>
    <w:rsid w:val="79B50C6F"/>
    <w:rsid w:val="79D319E8"/>
    <w:rsid w:val="79E06AB0"/>
    <w:rsid w:val="7A0527D6"/>
    <w:rsid w:val="7A073B40"/>
    <w:rsid w:val="7A1E66A7"/>
    <w:rsid w:val="7A3E3C86"/>
    <w:rsid w:val="7A421F6B"/>
    <w:rsid w:val="7A9C129D"/>
    <w:rsid w:val="7AA666FB"/>
    <w:rsid w:val="7AAC617C"/>
    <w:rsid w:val="7ABB0835"/>
    <w:rsid w:val="7ABE7A74"/>
    <w:rsid w:val="7AC3193E"/>
    <w:rsid w:val="7AD825ED"/>
    <w:rsid w:val="7AE7522B"/>
    <w:rsid w:val="7AEF05B0"/>
    <w:rsid w:val="7AF11E4A"/>
    <w:rsid w:val="7AFC756B"/>
    <w:rsid w:val="7B0A616D"/>
    <w:rsid w:val="7B1001C7"/>
    <w:rsid w:val="7B114DBF"/>
    <w:rsid w:val="7B1530FA"/>
    <w:rsid w:val="7B2119B9"/>
    <w:rsid w:val="7B6A65F9"/>
    <w:rsid w:val="7B6E44EE"/>
    <w:rsid w:val="7B73525D"/>
    <w:rsid w:val="7B841502"/>
    <w:rsid w:val="7B856B69"/>
    <w:rsid w:val="7BA51FAA"/>
    <w:rsid w:val="7BA71431"/>
    <w:rsid w:val="7BA76788"/>
    <w:rsid w:val="7BAB65F0"/>
    <w:rsid w:val="7BC16734"/>
    <w:rsid w:val="7BC5601A"/>
    <w:rsid w:val="7BE067C0"/>
    <w:rsid w:val="7BE21942"/>
    <w:rsid w:val="7BF7355E"/>
    <w:rsid w:val="7C041716"/>
    <w:rsid w:val="7C0F6F8D"/>
    <w:rsid w:val="7C1832E2"/>
    <w:rsid w:val="7C2C3168"/>
    <w:rsid w:val="7C60764A"/>
    <w:rsid w:val="7C635AEE"/>
    <w:rsid w:val="7C663DB5"/>
    <w:rsid w:val="7C7F077B"/>
    <w:rsid w:val="7C916907"/>
    <w:rsid w:val="7C9A2C55"/>
    <w:rsid w:val="7CB570A3"/>
    <w:rsid w:val="7CBB543F"/>
    <w:rsid w:val="7CC85D2E"/>
    <w:rsid w:val="7CFA0A3C"/>
    <w:rsid w:val="7CFB25C5"/>
    <w:rsid w:val="7D0200D4"/>
    <w:rsid w:val="7D024938"/>
    <w:rsid w:val="7D0432EA"/>
    <w:rsid w:val="7D071A67"/>
    <w:rsid w:val="7D153027"/>
    <w:rsid w:val="7D240558"/>
    <w:rsid w:val="7D3B2481"/>
    <w:rsid w:val="7D4337AE"/>
    <w:rsid w:val="7D441B35"/>
    <w:rsid w:val="7D4E4391"/>
    <w:rsid w:val="7D6A50D1"/>
    <w:rsid w:val="7D6C1F0C"/>
    <w:rsid w:val="7D6F7C2B"/>
    <w:rsid w:val="7D767A99"/>
    <w:rsid w:val="7D7B5BD6"/>
    <w:rsid w:val="7D7F6644"/>
    <w:rsid w:val="7D812A55"/>
    <w:rsid w:val="7D9828AA"/>
    <w:rsid w:val="7DA15DD8"/>
    <w:rsid w:val="7DA54E7B"/>
    <w:rsid w:val="7DAD4B1E"/>
    <w:rsid w:val="7DCE4670"/>
    <w:rsid w:val="7DDB6F5C"/>
    <w:rsid w:val="7DDF08B2"/>
    <w:rsid w:val="7DDF7781"/>
    <w:rsid w:val="7E2F58AE"/>
    <w:rsid w:val="7E464EB2"/>
    <w:rsid w:val="7E5724CE"/>
    <w:rsid w:val="7E5B4BE3"/>
    <w:rsid w:val="7E6C79E8"/>
    <w:rsid w:val="7E6E14DC"/>
    <w:rsid w:val="7EB90785"/>
    <w:rsid w:val="7EE97E69"/>
    <w:rsid w:val="7EEF15E6"/>
    <w:rsid w:val="7F0F3C4C"/>
    <w:rsid w:val="7F102E25"/>
    <w:rsid w:val="7F2B3490"/>
    <w:rsid w:val="7F3731B4"/>
    <w:rsid w:val="7F7B63F4"/>
    <w:rsid w:val="7F81479C"/>
    <w:rsid w:val="7F846974"/>
    <w:rsid w:val="7F851D0B"/>
    <w:rsid w:val="7F961536"/>
    <w:rsid w:val="7FB772DD"/>
    <w:rsid w:val="7FD5728C"/>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beforeLines="50"/>
    </w:pPr>
    <w:rPr>
      <w:rFonts w:ascii="宋体" w:hAnsi="宋体"/>
      <w:szCs w:val="20"/>
    </w:r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character" w:customStyle="1" w:styleId="26">
    <w:name w:val="标题 2 字符"/>
    <w:link w:val="3"/>
    <w:qFormat/>
    <w:uiPriority w:val="0"/>
    <w:rPr>
      <w:rFonts w:ascii="Arial" w:hAnsi="Arial"/>
      <w:b/>
      <w:bCs/>
      <w:sz w:val="28"/>
      <w:szCs w:val="32"/>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Calibri" w:hAnsi="Calibri" w:eastAsia="宋体" w:cs="Times New Roman"/>
      <w:lang w:val="en-US" w:eastAsia="zh-CN" w:bidi="ar-SA"/>
    </w:rPr>
  </w:style>
  <w:style w:type="paragraph" w:customStyle="1" w:styleId="33">
    <w:name w:val="WPSOffice手动目录 2"/>
    <w:qFormat/>
    <w:uiPriority w:val="0"/>
    <w:pPr>
      <w:ind w:left="200" w:leftChars="200"/>
    </w:pPr>
    <w:rPr>
      <w:rFonts w:ascii="Calibri" w:hAnsi="Calibri" w:eastAsia="宋体" w:cs="Times New Roman"/>
      <w:lang w:val="en-US" w:eastAsia="zh-CN" w:bidi="ar-SA"/>
    </w:rPr>
  </w:style>
  <w:style w:type="character" w:customStyle="1" w:styleId="34">
    <w:name w:val="font21"/>
    <w:basedOn w:val="21"/>
    <w:qFormat/>
    <w:uiPriority w:val="0"/>
    <w:rPr>
      <w:rFonts w:hint="eastAsia" w:ascii="宋体" w:hAnsi="宋体" w:eastAsia="宋体" w:cs="宋体"/>
      <w:color w:val="000000"/>
      <w:sz w:val="24"/>
      <w:szCs w:val="24"/>
      <w:u w:val="none"/>
    </w:rPr>
  </w:style>
  <w:style w:type="character" w:customStyle="1" w:styleId="35">
    <w:name w:val="font01"/>
    <w:basedOn w:val="21"/>
    <w:qFormat/>
    <w:uiPriority w:val="0"/>
    <w:rPr>
      <w:rFonts w:hint="default" w:ascii="Times New Roman" w:hAnsi="Times New Roman" w:cs="Times New Roman"/>
      <w:color w:val="000000"/>
      <w:sz w:val="24"/>
      <w:szCs w:val="24"/>
      <w:u w:val="none"/>
    </w:rPr>
  </w:style>
  <w:style w:type="character" w:customStyle="1" w:styleId="36">
    <w:name w:val="font1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2099</Words>
  <Characters>2396</Characters>
  <Lines>178</Lines>
  <Paragraphs>50</Paragraphs>
  <TotalTime>2</TotalTime>
  <ScaleCrop>false</ScaleCrop>
  <LinksUpToDate>false</LinksUpToDate>
  <CharactersWithSpaces>2815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2022-11-22T02:00:00Z</dcterms:created>
  <dc:creator>huajie</dc:creator>
  <cp:lastModifiedBy>李恋钰（迈信房产）</cp:lastModifiedBy>
  <dcterms:modified xsi:type="dcterms:W3CDTF">2025-10-21T02:43:01Z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C2863688B38E4E11AB007B5E773D04E2_13</vt:lpwstr>
  </property>
  <property fmtid="{D5CDD505-2E9C-101B-9397-08002B2CF9AE}" pid="4" name="KSOTemplateDocerSaveRecord">
    <vt:lpwstr>eyJoZGlkIjoiNDIyNjk5NGIxZWZjMzliYjkxM2ExZGQ2YzExMTVhOTIiLCJ1c2VySWQiOiIxNjc2Njg2ODUwIn0=</vt:lpwstr>
  </property>
</Properties>
</file>