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1" w:rightChars="15" w:firstLine="560" w:firstLineChars="200"/>
        <w:jc w:val="right"/>
        <w:rPr>
          <w:rFonts w:ascii="宋体" w:hAnsi="宋体" w:eastAsia="仿宋"/>
          <w:b/>
          <w:sz w:val="36"/>
          <w:szCs w:val="36"/>
        </w:rPr>
      </w:pPr>
      <w:r>
        <w:rPr>
          <w:rFonts w:hint="eastAsia" w:ascii="仿宋" w:hAnsi="仿宋" w:eastAsia="仿宋"/>
          <w:sz w:val="28"/>
          <w:szCs w:val="28"/>
        </w:rPr>
        <w:t>采购项目编号：</w:t>
      </w:r>
      <w:r>
        <w:rPr>
          <w:rFonts w:ascii="仿宋" w:hAnsi="仿宋" w:eastAsia="仿宋"/>
          <w:sz w:val="28"/>
          <w:szCs w:val="28"/>
        </w:rPr>
        <w:t>MXFC-CB-XC-202</w:t>
      </w:r>
      <w:r>
        <w:rPr>
          <w:rFonts w:hint="eastAsia" w:ascii="仿宋" w:hAnsi="仿宋" w:eastAsia="仿宋"/>
          <w:sz w:val="28"/>
          <w:szCs w:val="28"/>
        </w:rPr>
        <w:t>4003</w:t>
      </w:r>
    </w:p>
    <w:p>
      <w:pPr>
        <w:pStyle w:val="2"/>
      </w:pPr>
    </w:p>
    <w:p>
      <w:pPr>
        <w:widowControl/>
        <w:jc w:val="center"/>
        <w:rPr>
          <w:rFonts w:ascii="Times New Roman" w:hAnsi="Times New Roman" w:cs="Times New Roman"/>
          <w:sz w:val="32"/>
          <w:szCs w:val="32"/>
          <w:u w:val="single"/>
        </w:rPr>
      </w:pPr>
    </w:p>
    <w:p>
      <w:pPr>
        <w:widowControl/>
        <w:jc w:val="center"/>
        <w:rPr>
          <w:rFonts w:ascii="Times New Roman" w:hAnsi="Times New Roman" w:cs="Times New Roman"/>
          <w:sz w:val="32"/>
          <w:szCs w:val="32"/>
        </w:rPr>
      </w:pPr>
      <w:r>
        <w:rPr>
          <w:rFonts w:ascii="Times New Roman" w:hAnsi="Times New Roman" w:cs="Times New Roman"/>
          <w:sz w:val="32"/>
          <w:szCs w:val="32"/>
          <w:u w:val="single"/>
        </w:rPr>
        <w:t xml:space="preserve"> </w:t>
      </w:r>
      <w:r>
        <w:rPr>
          <w:rFonts w:hint="eastAsia" w:ascii="Times New Roman" w:hAnsi="Times New Roman" w:eastAsia="宋体" w:cs="Times New Roman"/>
          <w:b/>
          <w:bCs/>
          <w:kern w:val="0"/>
          <w:sz w:val="44"/>
          <w:szCs w:val="44"/>
          <w:u w:val="single"/>
        </w:rPr>
        <w:t xml:space="preserve">青浦区华新镇华志路北侧23-01地块项目交通标识工程 </w:t>
      </w:r>
      <w:r>
        <w:rPr>
          <w:rFonts w:hint="eastAsia" w:ascii="Times New Roman" w:hAnsi="Times New Roman" w:eastAsia="宋体" w:cs="Times New Roman"/>
          <w:b/>
          <w:bCs/>
          <w:kern w:val="0"/>
          <w:sz w:val="44"/>
          <w:szCs w:val="44"/>
        </w:rPr>
        <w:t>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 购 人：</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上海迈信房地产开发有限公司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 xml:space="preserve">日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2024 </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03</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25</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608341236"/>
        <w:docPartObj>
          <w:docPartGallery w:val="Table of Contents"/>
          <w:docPartUnique/>
        </w:docPartObj>
      </w:sdtPr>
      <w:sdtEndPr>
        <w:rPr>
          <w:rFonts w:asciiTheme="minorHAnsi" w:hAnsiTheme="minorHAnsi" w:eastAsiaTheme="minorEastAsia"/>
          <w:kern w:val="2"/>
          <w:sz w:val="20"/>
          <w:szCs w:val="20"/>
        </w:rPr>
      </w:sdtEndPr>
      <w:sdtContent>
        <w:p>
          <w:pPr>
            <w:pStyle w:val="32"/>
            <w:tabs>
              <w:tab w:val="right" w:leader="dot" w:pos="8312"/>
            </w:tabs>
            <w:jc w:val="center"/>
            <w:rPr>
              <w:rFonts w:ascii="Times New Roman" w:hAnsi="Times New Roman" w:eastAsia="宋体" w:cs="Times New Roman"/>
              <w:sz w:val="28"/>
              <w:szCs w:val="28"/>
            </w:rPr>
          </w:pPr>
          <w:bookmarkStart w:id="0" w:name="_Toc12906_WPSOffice_Type1"/>
          <w:r>
            <w:rPr>
              <w:rFonts w:ascii="Times New Roman" w:hAnsi="Times New Roman" w:eastAsia="宋体" w:cs="Times New Roman"/>
              <w:sz w:val="28"/>
              <w:szCs w:val="28"/>
            </w:rPr>
            <w:t>目  录</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715e0cdf-3e94-4683-b636-0ac6e6f1c46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w:t>
              </w:r>
            </w:sdtContent>
          </w:sdt>
          <w:r>
            <w:rPr>
              <w:rFonts w:ascii="Times New Roman" w:hAnsi="Times New Roman" w:eastAsia="宋体" w:cs="Times New Roman"/>
              <w:sz w:val="28"/>
              <w:szCs w:val="28"/>
            </w:rPr>
            <w:tab/>
          </w:r>
          <w:bookmarkStart w:id="1" w:name="_Toc3203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328510915"/>
              <w:placeholder>
                <w:docPart w:val="{eb3d925e-8eb2-47e7-913c-13c271f832c7}"/>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4</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418719748"/>
              <w:placeholder>
                <w:docPart w:val="{91b380df-5f78-4bfe-858c-87a9f4c38a26}"/>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bookmarkStart w:id="2" w:name="_Toc19702_WPSOffice_Level1Page"/>
          <w:r>
            <w:rPr>
              <w:rFonts w:ascii="Times New Roman" w:hAnsi="Times New Roman" w:eastAsia="宋体" w:cs="Times New Roman"/>
              <w:sz w:val="28"/>
              <w:szCs w:val="28"/>
            </w:rPr>
            <w:t>1</w:t>
          </w:r>
          <w:bookmarkEnd w:id="2"/>
          <w:r>
            <w:rPr>
              <w:rFonts w:hint="eastAsia" w:ascii="Times New Roman" w:hAnsi="Times New Roman" w:eastAsia="宋体" w:cs="Times New Roman"/>
              <w:sz w:val="28"/>
              <w:szCs w:val="28"/>
            </w:rPr>
            <w:t>2</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307964990"/>
              <w:placeholder>
                <w:docPart w:val="{ce844999-5387-4b1e-a46c-be14a2c268ab}"/>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t>9</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355852945"/>
              <w:placeholder>
                <w:docPart w:val="{20f79038-a84f-4367-b378-eb5f31e26f52}"/>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50</w:t>
          </w:r>
          <w:r>
            <w:rPr>
              <w:rFonts w:hint="eastAsia" w:ascii="Times New Roman" w:hAnsi="Times New Roman" w:eastAsia="宋体" w:cs="Times New Roman"/>
              <w:sz w:val="28"/>
              <w:szCs w:val="28"/>
            </w:rPr>
            <w:fldChar w:fldCharType="end"/>
          </w:r>
        </w:p>
        <w:p>
          <w:pPr>
            <w:pStyle w:val="32"/>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801890370"/>
              <w:placeholder>
                <w:docPart w:val="{c304ff6a-9be4-479b-b9c3-181ab0d9134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51</w:t>
          </w: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3"/>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rPr>
          <w:rFonts w:ascii="Times New Roman" w:hAnsi="Times New Roman" w:eastAsia="宋体" w:cs="Times New Roman"/>
        </w:rPr>
      </w:pPr>
      <w:bookmarkStart w:id="3" w:name="_Toc3203_WPSOffice_Level1"/>
      <w:r>
        <w:rPr>
          <w:rFonts w:ascii="Times New Roman" w:hAnsi="Times New Roman" w:eastAsia="宋体" w:cs="Times New Roman"/>
        </w:rPr>
        <w:t>采购公告</w:t>
      </w:r>
      <w:bookmarkEnd w:id="3"/>
    </w:p>
    <w:p>
      <w:pPr>
        <w:pStyle w:val="4"/>
        <w:snapToGrid w:val="0"/>
        <w:spacing w:before="120" w:after="120" w:line="240" w:lineRule="auto"/>
        <w:ind w:firstLine="403"/>
        <w:rPr>
          <w:rFonts w:ascii="Times New Roman" w:hAnsi="Times New Roman" w:eastAsia="黑体" w:cs="Times New Roman"/>
          <w:b w:val="0"/>
          <w:sz w:val="22"/>
          <w:szCs w:val="15"/>
        </w:rPr>
      </w:pPr>
      <w:bookmarkStart w:id="4" w:name="_Toc24354_WPSOffice_Level2"/>
      <w:bookmarkStart w:id="5" w:name="_Toc10395_WPSOffice_Level2"/>
      <w:bookmarkStart w:id="6" w:name="_Toc4489_WPSOffice_Level2"/>
      <w:bookmarkStart w:id="7" w:name="_Toc12765"/>
      <w:bookmarkStart w:id="8" w:name="_Toc13871"/>
      <w:bookmarkStart w:id="9" w:name="_Toc525632585"/>
      <w:bookmarkStart w:id="10" w:name="_Toc6496_WPSOffice_Level2"/>
      <w:r>
        <w:rPr>
          <w:rFonts w:ascii="Times New Roman" w:hAnsi="Times New Roman" w:eastAsia="黑体" w:cs="Times New Roman"/>
          <w:b w:val="0"/>
          <w:sz w:val="22"/>
          <w:szCs w:val="15"/>
        </w:rPr>
        <w:t>项目简介</w:t>
      </w:r>
      <w:bookmarkEnd w:id="4"/>
      <w:bookmarkEnd w:id="5"/>
      <w:bookmarkEnd w:id="6"/>
      <w:bookmarkEnd w:id="7"/>
      <w:bookmarkEnd w:id="8"/>
      <w:bookmarkEnd w:id="9"/>
      <w:bookmarkEnd w:id="10"/>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1.1 项目名称：</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青浦区华新镇华志路北侧23-01地块项目交通标识工程  </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上海迈信房地产开发有限公司</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eastAsia="宋体" w:cs="Times New Roman"/>
          <w:szCs w:val="22"/>
        </w:rPr>
      </w:pPr>
      <w:r>
        <w:rPr>
          <w:rFonts w:ascii="Times New Roman" w:hAnsi="Times New Roman" w:cs="Times New Roman"/>
          <w:szCs w:val="22"/>
        </w:rPr>
        <w:t>1.3 项目概况：</w:t>
      </w:r>
      <w:r>
        <w:rPr>
          <w:rFonts w:ascii="Times New Roman" w:hAnsi="Times New Roman" w:cs="Times New Roman"/>
          <w:szCs w:val="22"/>
          <w:u w:val="single"/>
        </w:rPr>
        <w:t xml:space="preserve">  </w:t>
      </w:r>
      <w:r>
        <w:rPr>
          <w:rFonts w:hint="eastAsia" w:ascii="Times New Roman" w:hAnsi="Times New Roman" w:cs="Times New Roman"/>
          <w:szCs w:val="22"/>
          <w:u w:val="single"/>
        </w:rPr>
        <w:t>青浦区华新镇华志路北侧23-01地块项目用地面积5.48万平方米，总建筑面积约12.56万平方米，项目主要为14-16层住宅，装配式建造，精装交付，含8栋14层高层住宅，2栋16层高层住宅，1栋16层保障住宅，1栋配套用房，以及配电房、门卫等，地下建筑面积约4.03万平方米。本次采购为交通标识工程。</w:t>
      </w:r>
    </w:p>
    <w:p>
      <w:pPr>
        <w:pStyle w:val="4"/>
        <w:snapToGrid w:val="0"/>
        <w:spacing w:before="120" w:after="120" w:line="240" w:lineRule="auto"/>
        <w:ind w:firstLine="403"/>
        <w:rPr>
          <w:rFonts w:ascii="Times New Roman" w:hAnsi="Times New Roman" w:eastAsia="黑体" w:cs="Times New Roman"/>
          <w:b w:val="0"/>
          <w:sz w:val="22"/>
          <w:szCs w:val="15"/>
        </w:rPr>
      </w:pPr>
      <w:bookmarkStart w:id="11" w:name="_Toc10274"/>
      <w:bookmarkStart w:id="12" w:name="_Toc18453"/>
      <w:bookmarkStart w:id="13" w:name="_Toc18367_WPSOffice_Level2"/>
      <w:bookmarkStart w:id="14" w:name="_Toc525632586"/>
      <w:bookmarkStart w:id="15" w:name="_Toc8128_WPSOffice_Level2"/>
      <w:bookmarkStart w:id="16" w:name="_Toc23266_WPSOffice_Level2"/>
      <w:bookmarkStart w:id="17" w:name="_Toc17858_WPSOffice_Level2"/>
      <w:r>
        <w:rPr>
          <w:rFonts w:ascii="Times New Roman" w:hAnsi="Times New Roman" w:eastAsia="黑体" w:cs="Times New Roman"/>
          <w:b w:val="0"/>
          <w:sz w:val="22"/>
          <w:szCs w:val="15"/>
        </w:rPr>
        <w:t>采购说明</w:t>
      </w:r>
      <w:bookmarkEnd w:id="11"/>
      <w:bookmarkEnd w:id="12"/>
      <w:bookmarkEnd w:id="13"/>
      <w:bookmarkEnd w:id="14"/>
      <w:bookmarkEnd w:id="15"/>
      <w:bookmarkEnd w:id="16"/>
      <w:bookmarkEnd w:id="17"/>
    </w:p>
    <w:p>
      <w:pPr>
        <w:snapToGrid w:val="0"/>
        <w:spacing w:line="440" w:lineRule="exact"/>
        <w:ind w:firstLine="420" w:firstLineChars="200"/>
        <w:rPr>
          <w:rFonts w:ascii="Times New Roman" w:hAnsi="Times New Roman" w:cs="Times New Roman"/>
          <w:szCs w:val="22"/>
          <w:u w:val="single"/>
        </w:rPr>
      </w:pPr>
      <w:bookmarkStart w:id="18" w:name="_Toc4489_WPSOffice_Level3"/>
      <w:r>
        <w:rPr>
          <w:rFonts w:ascii="Times New Roman" w:hAnsi="Times New Roman" w:cs="Times New Roman"/>
          <w:szCs w:val="22"/>
        </w:rPr>
        <w:t>2.1 采购方式：</w:t>
      </w:r>
      <w:bookmarkEnd w:id="18"/>
      <w:r>
        <w:rPr>
          <w:rFonts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19" w:name="_Toc23266_WPSOffice_Level3"/>
      <w:r>
        <w:rPr>
          <w:rFonts w:ascii="Times New Roman" w:hAnsi="Times New Roman" w:cs="Times New Roman"/>
          <w:szCs w:val="22"/>
        </w:rPr>
        <w:t>2.2 资金来源及比例：</w:t>
      </w:r>
      <w:bookmarkEnd w:id="19"/>
      <w:bookmarkStart w:id="20"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ascii="Times New Roman" w:hAnsi="Times New Roman" w:cs="Times New Roman"/>
          <w:szCs w:val="22"/>
          <w:u w:val="single"/>
        </w:rPr>
        <w:t xml:space="preserve">  </w:t>
      </w:r>
      <w:r>
        <w:rPr>
          <w:rFonts w:hint="eastAsia" w:ascii="Times New Roman" w:hAnsi="Times New Roman" w:cs="Times New Roman"/>
          <w:szCs w:val="22"/>
          <w:u w:val="single"/>
        </w:rPr>
        <w:t>包括但不限于青浦区华新镇华志路北侧23-01地块项目交通标识工程等的图纸深化、地库标识标线、地面交通标识标线、防撞护角、车档、减速带、导视牌、墙柱面彩绘等内容的制作及安装、施工，以及配合完成机动车停车场库测量测绘，并保证地面和地库通过交警总队、路政及市交通委等相关政府部门验收通过，最终按交付版图纸施工交付完成。</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hint="eastAsia" w:ascii="Times New Roman" w:hAnsi="Times New Roman" w:cs="Times New Roman"/>
          <w:szCs w:val="22"/>
          <w:u w:val="single"/>
        </w:rPr>
        <w:t>1个</w:t>
      </w:r>
      <w:r>
        <w:rPr>
          <w:rFonts w:ascii="Times New Roman" w:hAnsi="Times New Roman" w:cs="Times New Roman"/>
          <w:szCs w:val="22"/>
          <w:u w:val="single"/>
        </w:rPr>
        <w:t xml:space="preserve">合同包  </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r>
        <w:rPr>
          <w:rFonts w:hint="eastAsia" w:ascii="Times New Roman" w:hAnsi="Times New Roman" w:cs="Times New Roman"/>
          <w:szCs w:val="22"/>
        </w:rPr>
        <w:t>（含税）</w:t>
      </w:r>
      <w:r>
        <w:rPr>
          <w:rFonts w:ascii="Times New Roman" w:hAnsi="Times New Roman" w:cs="Times New Roman"/>
          <w:szCs w:val="22"/>
        </w:rPr>
        <w:t>：</w:t>
      </w:r>
      <w:bookmarkEnd w:id="20"/>
      <w:r>
        <w:rPr>
          <w:rFonts w:ascii="Times New Roman" w:hAnsi="Times New Roman" w:cs="Times New Roman"/>
          <w:szCs w:val="22"/>
          <w:u w:val="single"/>
        </w:rPr>
        <w:t xml:space="preserve">  </w:t>
      </w:r>
      <w:r>
        <w:rPr>
          <w:rFonts w:hint="eastAsia" w:ascii="Times New Roman" w:hAnsi="Times New Roman" w:cs="Times New Roman"/>
          <w:szCs w:val="22"/>
          <w:u w:val="single"/>
        </w:rPr>
        <w:t>1,79</w:t>
      </w:r>
      <w:r>
        <w:rPr>
          <w:rFonts w:hint="eastAsia" w:ascii="Times New Roman" w:hAnsi="Times New Roman" w:cs="Times New Roman"/>
          <w:szCs w:val="22"/>
          <w:u w:val="single"/>
          <w:lang w:val="en-US" w:eastAsia="zh-CN"/>
        </w:rPr>
        <w:t>7</w:t>
      </w:r>
      <w:r>
        <w:rPr>
          <w:rFonts w:hint="eastAsia" w:ascii="Times New Roman" w:hAnsi="Times New Roman" w:cs="Times New Roman"/>
          <w:szCs w:val="22"/>
          <w:u w:val="single"/>
        </w:rPr>
        <w:t>,</w:t>
      </w:r>
      <w:r>
        <w:rPr>
          <w:rFonts w:hint="eastAsia" w:ascii="Times New Roman" w:hAnsi="Times New Roman" w:cs="Times New Roman"/>
          <w:szCs w:val="22"/>
          <w:u w:val="single"/>
          <w:lang w:val="en-US" w:eastAsia="zh-CN"/>
        </w:rPr>
        <w:t>338.69</w:t>
      </w:r>
      <w:r>
        <w:rPr>
          <w:rFonts w:hint="eastAsia" w:ascii="Times New Roman" w:hAnsi="Times New Roman" w:cs="Times New Roman"/>
          <w:szCs w:val="22"/>
          <w:u w:val="single"/>
        </w:rPr>
        <w:t>元</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6</w:t>
      </w:r>
      <w:r>
        <w:rPr>
          <w:rFonts w:ascii="Times New Roman" w:hAnsi="Times New Roman" w:cs="Times New Roman"/>
          <w:szCs w:val="22"/>
        </w:rPr>
        <w:t xml:space="preserve"> 计划工期：</w:t>
      </w:r>
      <w:r>
        <w:rPr>
          <w:rFonts w:hint="eastAsia" w:ascii="Times New Roman" w:hAnsi="Times New Roman" w:cs="Times New Roman"/>
          <w:szCs w:val="22"/>
          <w:u w:val="single"/>
        </w:rPr>
        <w:t>计划开工日期：大区暂定2024年8月30日（实际开工日期以采购人通知的为准）工期60天；展示区计划开工日期为2024年5月1日（实际开工日期以采购人通知的为准）</w:t>
      </w:r>
      <w:r>
        <w:rPr>
          <w:rFonts w:ascii="Times New Roman" w:hAnsi="Times New Roman" w:cs="Times New Roman"/>
          <w:szCs w:val="22"/>
        </w:rPr>
        <w:t>。</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7</w:t>
      </w:r>
      <w:r>
        <w:rPr>
          <w:rFonts w:ascii="Times New Roman" w:hAnsi="Times New Roman" w:cs="Times New Roman"/>
          <w:szCs w:val="22"/>
        </w:rPr>
        <w:t xml:space="preserve"> 每个供应商最多可同时对</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 </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Pr>
          <w:rFonts w:hint="eastAsia" w:ascii="Times New Roman" w:hAnsi="Times New Roman" w:cs="Times New Roman"/>
          <w:szCs w:val="22"/>
          <w:u w:val="single"/>
        </w:rPr>
        <w:t>1</w:t>
      </w:r>
      <w:r>
        <w:rPr>
          <w:rFonts w:ascii="Times New Roman" w:hAnsi="Times New Roman" w:cs="Times New Roman"/>
          <w:szCs w:val="22"/>
          <w:u w:val="single"/>
        </w:rPr>
        <w:t xml:space="preserve"> </w:t>
      </w:r>
      <w:r>
        <w:rPr>
          <w:rFonts w:ascii="Times New Roman" w:hAnsi="Times New Roman" w:cs="Times New Roman"/>
          <w:szCs w:val="22"/>
        </w:rPr>
        <w:t>个合同包</w:t>
      </w:r>
      <w:r>
        <w:rPr>
          <w:rFonts w:hint="eastAsia" w:ascii="Times New Roman" w:hAnsi="Times New Roman" w:cs="Times New Roman"/>
          <w:szCs w:val="22"/>
        </w:rPr>
        <w:t>；多合同包的成交原则：</w:t>
      </w:r>
      <w:r>
        <w:rPr>
          <w:rFonts w:hint="eastAsia" w:ascii="Times New Roman" w:hAnsi="Times New Roman" w:cs="Times New Roman"/>
          <w:szCs w:val="22"/>
          <w:u w:val="single"/>
        </w:rPr>
        <w:t xml:space="preserve">   /   </w:t>
      </w:r>
      <w:r>
        <w:rPr>
          <w:rFonts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 w:val="0"/>
          <w:sz w:val="22"/>
          <w:szCs w:val="15"/>
        </w:rPr>
      </w:pPr>
      <w:bookmarkStart w:id="21" w:name="_Toc6388"/>
      <w:bookmarkStart w:id="22" w:name="_Toc1622_WPSOffice_Level2"/>
      <w:bookmarkStart w:id="23" w:name="_Toc31673_WPSOffice_Level2"/>
      <w:bookmarkStart w:id="24" w:name="_Toc3714"/>
      <w:bookmarkStart w:id="25" w:name="_Toc29516_WPSOffice_Level2"/>
      <w:bookmarkStart w:id="26" w:name="_Toc22379_WPSOffice_Level2"/>
      <w:bookmarkStart w:id="27" w:name="_Toc525632587"/>
      <w:r>
        <w:rPr>
          <w:rFonts w:ascii="Times New Roman" w:hAnsi="Times New Roman" w:eastAsia="黑体" w:cs="Times New Roman"/>
          <w:b w:val="0"/>
          <w:sz w:val="22"/>
          <w:szCs w:val="15"/>
        </w:rPr>
        <w:t>供应商资格条件</w:t>
      </w:r>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①具备</w:t>
      </w:r>
      <w:r>
        <w:rPr>
          <w:rFonts w:hint="eastAsia" w:ascii="Times New Roman" w:hAnsi="Times New Roman" w:cs="Times New Roman"/>
          <w:szCs w:val="22"/>
          <w:u w:val="single"/>
        </w:rPr>
        <w:t xml:space="preserve"> </w:t>
      </w:r>
      <w:r>
        <w:rPr>
          <w:rFonts w:ascii="Times New Roman" w:hAnsi="Times New Roman" w:cs="Times New Roman"/>
          <w:szCs w:val="22"/>
          <w:u w:val="single"/>
        </w:rPr>
        <w:t>独立法人资格</w:t>
      </w:r>
      <w:r>
        <w:rPr>
          <w:rFonts w:hint="eastAsia" w:ascii="Times New Roman" w:hAnsi="Times New Roman" w:cs="Times New Roman"/>
          <w:szCs w:val="22"/>
          <w:u w:val="single"/>
        </w:rPr>
        <w:t xml:space="preserve"> </w:t>
      </w:r>
      <w:r>
        <w:rPr>
          <w:rFonts w:ascii="Times New Roman" w:hAnsi="Times New Roman" w:cs="Times New Roman"/>
          <w:szCs w:val="22"/>
        </w:rPr>
        <w:t>，持有有效的营业执照；</w:t>
      </w:r>
    </w:p>
    <w:p>
      <w:pPr>
        <w:pStyle w:val="2"/>
        <w:spacing w:after="0" w:line="440" w:lineRule="exact"/>
        <w:ind w:firstLine="420" w:firstLineChars="200"/>
      </w:pPr>
      <w:r>
        <w:rPr>
          <w:rFonts w:hint="eastAsia"/>
        </w:rPr>
        <w:t>（2）</w:t>
      </w:r>
      <w:r>
        <w:t>业绩最低要求：</w:t>
      </w:r>
    </w:p>
    <w:p>
      <w:pPr>
        <w:pStyle w:val="2"/>
        <w:spacing w:after="0" w:line="440" w:lineRule="exact"/>
        <w:ind w:firstLine="420" w:firstLineChars="200"/>
      </w:pPr>
      <w:r>
        <w:t>近</w:t>
      </w:r>
      <w:r>
        <w:rPr>
          <w:rFonts w:hint="eastAsia"/>
          <w:u w:val="single"/>
        </w:rPr>
        <w:t xml:space="preserve">  3  </w:t>
      </w:r>
      <w:r>
        <w:t>年（</w:t>
      </w:r>
      <w:r>
        <w:rPr>
          <w:rFonts w:hint="eastAsia"/>
        </w:rPr>
        <w:t>指</w:t>
      </w:r>
      <w:r>
        <w:rPr>
          <w:rFonts w:hint="eastAsia"/>
          <w:u w:val="single"/>
        </w:rPr>
        <w:t xml:space="preserve"> 2021 </w:t>
      </w:r>
      <w:r>
        <w:rPr>
          <w:rFonts w:hint="eastAsia"/>
        </w:rPr>
        <w:t>年</w:t>
      </w:r>
      <w:r>
        <w:rPr>
          <w:rFonts w:hint="eastAsia"/>
          <w:u w:val="single"/>
        </w:rPr>
        <w:t xml:space="preserve"> 03 </w:t>
      </w:r>
      <w:r>
        <w:rPr>
          <w:rFonts w:hint="eastAsia"/>
        </w:rPr>
        <w:t>月</w:t>
      </w:r>
      <w:r>
        <w:rPr>
          <w:rFonts w:hint="eastAsia"/>
          <w:u w:val="single"/>
        </w:rPr>
        <w:t xml:space="preserve"> 01 </w:t>
      </w:r>
      <w:r>
        <w:rPr>
          <w:rFonts w:hint="eastAsia"/>
        </w:rPr>
        <w:t>日至</w:t>
      </w:r>
      <w:r>
        <w:t>响应文件递交截止日期，以</w:t>
      </w:r>
      <w:r>
        <w:rPr>
          <w:rFonts w:hint="eastAsia"/>
          <w:u w:val="single"/>
        </w:rPr>
        <w:t xml:space="preserve">  合同签订  </w:t>
      </w:r>
      <w:r>
        <w:t>时间为准</w:t>
      </w:r>
      <w:r>
        <w:rPr>
          <w:rFonts w:hint="eastAsia"/>
        </w:rPr>
        <w:t>，</w:t>
      </w:r>
      <w:r>
        <w:t>具备</w:t>
      </w:r>
      <w:r>
        <w:rPr>
          <w:rFonts w:hint="eastAsia"/>
          <w:u w:val="single"/>
        </w:rPr>
        <w:t xml:space="preserve">  1个单个合同金额80万元以上的住宅类交通标识工程  </w:t>
      </w:r>
      <w:r>
        <w:rPr>
          <w:rFonts w:hint="eastAsia"/>
        </w:rPr>
        <w:t>类似</w:t>
      </w:r>
      <w:r>
        <w:t>业绩。</w:t>
      </w:r>
    </w:p>
    <w:p>
      <w:pPr>
        <w:pStyle w:val="2"/>
        <w:spacing w:after="0" w:line="440" w:lineRule="exact"/>
        <w:ind w:firstLine="420" w:firstLineChars="200"/>
      </w:pPr>
      <w:r>
        <w:t>备注：类似业绩是指单个合同金额</w:t>
      </w:r>
      <w:r>
        <w:rPr>
          <w:u w:val="single"/>
        </w:rPr>
        <w:t>8</w:t>
      </w:r>
      <w:r>
        <w:rPr>
          <w:rFonts w:hint="eastAsia"/>
          <w:u w:val="single"/>
        </w:rPr>
        <w:t>0</w:t>
      </w:r>
      <w:r>
        <w:rPr>
          <w:u w:val="single"/>
        </w:rPr>
        <w:t>万元</w:t>
      </w:r>
      <w:r>
        <w:t>以上的</w:t>
      </w:r>
      <w:r>
        <w:rPr>
          <w:rFonts w:hint="eastAsia"/>
          <w:u w:val="single"/>
        </w:rPr>
        <w:t>住宅类交通标识工程</w:t>
      </w:r>
      <w:r>
        <w:t>业绩，业绩证明材料须提供含</w:t>
      </w:r>
      <w:r>
        <w:rPr>
          <w:u w:val="single"/>
        </w:rPr>
        <w:t>签订日期</w:t>
      </w:r>
      <w:r>
        <w:t>、</w:t>
      </w:r>
      <w:r>
        <w:rPr>
          <w:u w:val="single"/>
        </w:rPr>
        <w:t>合同金额</w:t>
      </w:r>
      <w:r>
        <w:t>相关信息的合同文件，并</w:t>
      </w:r>
      <w:r>
        <w:rPr>
          <w:u w:val="single"/>
        </w:rPr>
        <w:t>加盖响应人公章</w:t>
      </w:r>
      <w: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主要人员最低要求：</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项目负责人</w:t>
      </w:r>
      <w:r>
        <w:rPr>
          <w:rFonts w:ascii="Times New Roman" w:hAnsi="Times New Roman" w:cs="Times New Roman"/>
          <w:szCs w:val="22"/>
        </w:rPr>
        <w:t>1名，具备以下资格条件：</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附有其有效的身份证、响应文件递交截止时间前一年内连续三个月在供应商本单位的社保缴费记录(其他证明材料)的复印件。所有证件的扫描件均应清晰可辨，否则，将被认为证书无效。</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对供应商其他人员的要求：</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18"/>
          <w:szCs w:val="21"/>
        </w:rP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w:t>
      </w:r>
      <w:r>
        <w:rPr>
          <w:rFonts w:hint="eastAsia" w:ascii="Times New Roman" w:hAnsi="Times New Roman" w:cs="Times New Roman"/>
          <w:szCs w:val="22"/>
        </w:rPr>
        <w:t>项目负责人未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rPr>
      </w:pPr>
      <w:r>
        <w:rPr>
          <w:rFonts w:hint="eastAsia" w:ascii="Times New Roman" w:hAnsi="Times New Roman"/>
        </w:rPr>
        <w:t>⑥其他要求：_/__。</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03"/>
        <w:rPr>
          <w:rFonts w:ascii="Times New Roman" w:hAnsi="Times New Roman" w:eastAsia="黑体" w:cs="Times New Roman"/>
          <w:b w:val="0"/>
          <w:sz w:val="22"/>
          <w:szCs w:val="15"/>
        </w:rPr>
      </w:pPr>
      <w:bookmarkStart w:id="28" w:name="_Toc29452_WPSOffice_Level2"/>
      <w:bookmarkStart w:id="29" w:name="_Toc4109_WPSOffice_Level2"/>
      <w:bookmarkStart w:id="30" w:name="_Toc525632588"/>
      <w:bookmarkStart w:id="31" w:name="_Toc4751"/>
      <w:bookmarkStart w:id="32" w:name="_Toc2996_WPSOffice_Level2"/>
      <w:bookmarkStart w:id="33" w:name="_Toc1994"/>
      <w:bookmarkStart w:id="34" w:name="_Toc25666_WPSOffice_Level2"/>
      <w:r>
        <w:rPr>
          <w:rFonts w:hint="eastAsia" w:ascii="Times New Roman" w:hAnsi="Times New Roman" w:eastAsia="黑体" w:cs="Times New Roman"/>
          <w:b w:val="0"/>
          <w:sz w:val="22"/>
          <w:szCs w:val="15"/>
        </w:rPr>
        <w:t>询比文件</w:t>
      </w:r>
      <w:r>
        <w:rPr>
          <w:rFonts w:ascii="Times New Roman" w:hAnsi="Times New Roman" w:eastAsia="黑体" w:cs="Times New Roman"/>
          <w:b w:val="0"/>
          <w:sz w:val="22"/>
          <w:szCs w:val="15"/>
        </w:rPr>
        <w:t>的获取</w:t>
      </w:r>
      <w:bookmarkEnd w:id="28"/>
      <w:bookmarkEnd w:id="29"/>
      <w:bookmarkEnd w:id="30"/>
      <w:bookmarkEnd w:id="31"/>
      <w:bookmarkEnd w:id="32"/>
      <w:bookmarkEnd w:id="33"/>
      <w:bookmarkEnd w:id="34"/>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w:t>
      </w:r>
      <w:r>
        <w:rPr>
          <w:rFonts w:hint="eastAsia" w:ascii="Times New Roman" w:hAnsi="Times New Roman" w:cs="Times New Roman"/>
          <w:szCs w:val="22"/>
          <w:u w:val="single"/>
        </w:rPr>
        <w:t>安徽安联高速公路有限公司网站</w:t>
      </w:r>
      <w:r>
        <w:rPr>
          <w:rFonts w:ascii="Times New Roman" w:hAnsi="Times New Roman" w:cs="Times New Roman"/>
          <w:szCs w:val="22"/>
        </w:rPr>
        <w:t>，选择所参加的</w:t>
      </w:r>
      <w:r>
        <w:rPr>
          <w:rFonts w:hint="eastAsia" w:ascii="Times New Roman" w:hAnsi="Times New Roman" w:cs="Times New Roman"/>
          <w:szCs w:val="22"/>
        </w:rPr>
        <w:t>项目</w:t>
      </w:r>
      <w:r>
        <w:rPr>
          <w:rFonts w:ascii="Times New Roman" w:hAnsi="Times New Roman" w:cs="Times New Roman"/>
          <w:szCs w:val="22"/>
        </w:rPr>
        <w:t>，自行下载询比文件及相关资料。</w:t>
      </w:r>
    </w:p>
    <w:p>
      <w:pPr>
        <w:pStyle w:val="4"/>
        <w:snapToGrid w:val="0"/>
        <w:spacing w:before="120" w:after="120" w:line="240" w:lineRule="auto"/>
        <w:ind w:firstLine="403"/>
        <w:rPr>
          <w:rFonts w:ascii="Times New Roman" w:hAnsi="Times New Roman" w:eastAsia="黑体" w:cs="Times New Roman"/>
          <w:b w:val="0"/>
          <w:sz w:val="22"/>
          <w:szCs w:val="15"/>
        </w:rPr>
      </w:pPr>
      <w:bookmarkStart w:id="35" w:name="_Toc525632589"/>
      <w:bookmarkStart w:id="36" w:name="_Toc726"/>
      <w:r>
        <w:rPr>
          <w:rFonts w:ascii="Times New Roman" w:hAnsi="Times New Roman" w:eastAsia="黑体" w:cs="Times New Roman"/>
          <w:b w:val="0"/>
          <w:sz w:val="22"/>
          <w:szCs w:val="15"/>
        </w:rPr>
        <w:t>响应文件的递交</w:t>
      </w:r>
      <w:bookmarkEnd w:id="35"/>
      <w:bookmarkEnd w:id="36"/>
    </w:p>
    <w:p>
      <w:pPr>
        <w:snapToGrid w:val="0"/>
        <w:spacing w:line="440" w:lineRule="exact"/>
        <w:ind w:firstLine="420" w:firstLineChars="200"/>
        <w:rPr>
          <w:rFonts w:ascii="Times New Roman" w:hAnsi="Times New Roman" w:cs="Times New Roman"/>
          <w:szCs w:val="22"/>
        </w:rPr>
      </w:pPr>
      <w:bookmarkStart w:id="37" w:name="_Toc525632591"/>
      <w:bookmarkStart w:id="38" w:name="_Toc22719"/>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0</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01</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10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00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分，供应商的法定代表人或其授权代理人应于</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0</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01</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09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30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至</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0</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01</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10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00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w:t>
      </w:r>
      <w:r>
        <w:rPr>
          <w:rFonts w:ascii="Times New Roman" w:hAnsi="Times New Roman" w:cs="Times New Roman"/>
          <w:szCs w:val="22"/>
        </w:rPr>
        <w:t>递交的截止时间</w:t>
      </w:r>
      <w:r>
        <w:rPr>
          <w:rFonts w:hint="eastAsia" w:ascii="Times New Roman" w:hAnsi="Times New Roman" w:cs="Times New Roman"/>
          <w:szCs w:val="22"/>
        </w:rPr>
        <w:t>）</w:t>
      </w:r>
      <w:r>
        <w:rPr>
          <w:rFonts w:ascii="Times New Roman" w:hAnsi="Times New Roman" w:cs="Times New Roman"/>
          <w:szCs w:val="22"/>
        </w:rPr>
        <w:t>将响应文件</w:t>
      </w:r>
      <w:r>
        <w:rPr>
          <w:rFonts w:hint="eastAsia" w:ascii="Times New Roman" w:hAnsi="Times New Roman" w:cs="Times New Roman"/>
          <w:szCs w:val="22"/>
        </w:rPr>
        <w:t>递交至</w:t>
      </w:r>
      <w:r>
        <w:rPr>
          <w:rFonts w:hint="eastAsia" w:ascii="Times New Roman" w:hAnsi="Times New Roman" w:cs="Times New Roman"/>
          <w:szCs w:val="22"/>
          <w:u w:val="single"/>
        </w:rPr>
        <w:t xml:space="preserve"> 上海市青浦区葛洲坝虹桥玉兰国际6号楼2楼 </w:t>
      </w:r>
      <w:r>
        <w:rPr>
          <w:rFonts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响应文件启封</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采购人将于响应文件的递交截止时间的同一时间，</w:t>
      </w:r>
      <w:r>
        <w:rPr>
          <w:rFonts w:ascii="Times New Roman" w:hAnsi="Times New Roman" w:cs="Times New Roman"/>
          <w:szCs w:val="22"/>
        </w:rPr>
        <w:t>于</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上海市青浦区葛洲坝虹桥玉兰国际6号楼2楼  </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240" w:lineRule="auto"/>
        <w:ind w:firstLine="403"/>
        <w:rPr>
          <w:rFonts w:ascii="Times New Roman" w:hAnsi="Times New Roman" w:eastAsia="黑体" w:cs="Times New Roman"/>
          <w:b w:val="0"/>
          <w:sz w:val="22"/>
          <w:szCs w:val="15"/>
        </w:rPr>
      </w:pPr>
      <w:r>
        <w:rPr>
          <w:rFonts w:hint="eastAsia" w:ascii="Times New Roman" w:hAnsi="Times New Roman" w:eastAsia="黑体" w:cs="Times New Roman"/>
          <w:b w:val="0"/>
          <w:sz w:val="22"/>
          <w:szCs w:val="15"/>
        </w:rPr>
        <w:t>响应保证金</w:t>
      </w:r>
    </w:p>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ascii="Times New Roman" w:hAnsi="Times New Roman" w:cs="Times New Roman"/>
          <w:szCs w:val="22"/>
        </w:rPr>
        <w:t>_____</w:t>
      </w:r>
      <w:r>
        <w:rPr>
          <w:rFonts w:hint="eastAsia" w:ascii="Times New Roman" w:hAnsi="Times New Roman" w:cs="Times New Roman"/>
          <w:szCs w:val="22"/>
        </w:rPr>
        <w:t>/</w:t>
      </w:r>
      <w:r>
        <w:rPr>
          <w:rFonts w:ascii="Times New Roman" w:hAnsi="Times New Roman" w:cs="Times New Roman"/>
          <w:szCs w:val="22"/>
        </w:rPr>
        <w:t>______</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响应保证金的递交形式：银行转账/银行保函</w:t>
      </w:r>
    </w:p>
    <w:p>
      <w:pPr>
        <w:snapToGrid w:val="0"/>
        <w:spacing w:line="440" w:lineRule="exact"/>
        <w:ind w:firstLine="420" w:firstLineChars="200"/>
        <w:rPr>
          <w:rFonts w:ascii="Times New Roman" w:hAnsi="Times New Roman"/>
        </w:rPr>
      </w:pPr>
      <w:r>
        <w:rPr>
          <w:rFonts w:hint="eastAsia" w:ascii="Times New Roman" w:hAnsi="Times New Roman"/>
        </w:rPr>
        <w:t>递交账号：</w:t>
      </w:r>
      <w:r>
        <w:rPr>
          <w:rFonts w:ascii="Times New Roman" w:hAnsi="Times New Roman" w:cs="Times New Roman"/>
          <w:szCs w:val="22"/>
        </w:rPr>
        <w:t>____</w:t>
      </w:r>
      <w:r>
        <w:rPr>
          <w:rFonts w:hint="eastAsia" w:ascii="Times New Roman" w:hAnsi="Times New Roman" w:cs="Times New Roman"/>
          <w:szCs w:val="22"/>
        </w:rPr>
        <w:t>/</w:t>
      </w:r>
      <w:r>
        <w:rPr>
          <w:rFonts w:ascii="Times New Roman" w:hAnsi="Times New Roman" w:cs="Times New Roman"/>
          <w:szCs w:val="22"/>
        </w:rPr>
        <w:t>_____</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rPr>
        <w:t>递交截止时间：</w:t>
      </w:r>
      <w:r>
        <w:rPr>
          <w:rFonts w:ascii="Times New Roman" w:hAnsi="Times New Roman" w:cs="Times New Roman"/>
          <w:szCs w:val="22"/>
        </w:rPr>
        <w:t>_____</w:t>
      </w:r>
      <w:r>
        <w:rPr>
          <w:rFonts w:hint="eastAsia" w:ascii="Times New Roman" w:hAnsi="Times New Roman" w:cs="Times New Roman"/>
          <w:szCs w:val="22"/>
        </w:rPr>
        <w:t>/</w:t>
      </w:r>
      <w:r>
        <w:rPr>
          <w:rFonts w:ascii="Times New Roman" w:hAnsi="Times New Roman" w:cs="Times New Roman"/>
          <w:szCs w:val="22"/>
        </w:rPr>
        <w:t>_____</w:t>
      </w:r>
    </w:p>
    <w:p>
      <w:pPr>
        <w:snapToGrid w:val="0"/>
        <w:spacing w:line="440" w:lineRule="exact"/>
        <w:ind w:firstLine="420" w:firstLineChars="200"/>
      </w:pPr>
      <w:r>
        <w:rPr>
          <w:rFonts w:hint="eastAsia" w:ascii="Times New Roman" w:hAnsi="Times New Roman"/>
        </w:rPr>
        <w:t>供应商</w:t>
      </w:r>
      <w:r>
        <w:rPr>
          <w:rFonts w:ascii="Times New Roman" w:hAnsi="Times New Roman" w:cs="Times New Roman"/>
          <w:szCs w:val="22"/>
        </w:rPr>
        <w:t>完成</w:t>
      </w:r>
      <w:r>
        <w:rPr>
          <w:rFonts w:hint="eastAsia" w:ascii="Times New Roman" w:hAnsi="Times New Roman"/>
        </w:rPr>
        <w:t>转账的银行账户名称应与供应商的单位名称一致。采用银行保函时，应由供应商开立基本账户的银行开具。</w:t>
      </w:r>
    </w:p>
    <w:p>
      <w:pPr>
        <w:pStyle w:val="4"/>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发布公告的媒介</w:t>
      </w:r>
      <w:bookmarkEnd w:id="37"/>
      <w:bookmarkEnd w:id="38"/>
    </w:p>
    <w:p>
      <w:pPr>
        <w:snapToGrid w:val="0"/>
        <w:spacing w:line="440" w:lineRule="exact"/>
        <w:ind w:firstLine="420" w:firstLineChars="200"/>
      </w:pPr>
      <w:r>
        <w:rPr>
          <w:rFonts w:ascii="Times New Roman" w:hAnsi="Times New Roman" w:cs="Times New Roman"/>
          <w:szCs w:val="22"/>
        </w:rPr>
        <w:t>本次采购公告在</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安徽安联高速公路有限公司网站 </w:t>
      </w:r>
      <w:r>
        <w:rPr>
          <w:rFonts w:ascii="Times New Roman" w:hAnsi="Times New Roman" w:cs="Times New Roman"/>
          <w:szCs w:val="22"/>
          <w:u w:val="single"/>
        </w:rPr>
        <w:t>（网址</w:t>
      </w:r>
      <w:r>
        <w:rPr>
          <w:rFonts w:hint="eastAsia" w:ascii="Times New Roman" w:hAnsi="Times New Roman" w:cs="Times New Roman"/>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pPr>
        <w:pStyle w:val="4"/>
        <w:snapToGrid w:val="0"/>
        <w:spacing w:before="120" w:after="120" w:line="240" w:lineRule="auto"/>
        <w:ind w:firstLine="403"/>
        <w:rPr>
          <w:rFonts w:ascii="Times New Roman" w:hAnsi="Times New Roman" w:eastAsia="黑体" w:cs="Times New Roman"/>
          <w:b w:val="0"/>
          <w:sz w:val="22"/>
          <w:szCs w:val="15"/>
        </w:rPr>
      </w:pPr>
      <w:bookmarkStart w:id="39" w:name="_Toc14943_WPSOffice_Level2"/>
      <w:bookmarkStart w:id="40" w:name="_Toc20572_WPSOffice_Level2"/>
      <w:bookmarkStart w:id="41" w:name="_Toc28571_WPSOffice_Level2"/>
      <w:bookmarkStart w:id="42" w:name="_Toc8501"/>
      <w:bookmarkStart w:id="43" w:name="_Toc26829"/>
      <w:bookmarkStart w:id="44" w:name="_Toc525632592"/>
      <w:bookmarkStart w:id="45" w:name="_Toc321_WPSOffice_Level2"/>
      <w:r>
        <w:rPr>
          <w:rFonts w:ascii="Times New Roman" w:hAnsi="Times New Roman" w:eastAsia="黑体" w:cs="Times New Roman"/>
          <w:b w:val="0"/>
          <w:sz w:val="22"/>
          <w:szCs w:val="15"/>
        </w:rPr>
        <w:t>采购人联系方式</w:t>
      </w:r>
      <w:bookmarkEnd w:id="39"/>
      <w:bookmarkEnd w:id="40"/>
      <w:bookmarkEnd w:id="41"/>
      <w:bookmarkEnd w:id="42"/>
      <w:bookmarkEnd w:id="43"/>
      <w:bookmarkEnd w:id="44"/>
      <w:bookmarkEnd w:id="45"/>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上海迈信房地产开发有限公司</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上海市青浦区葛洲坝虹桥玉兰国际6号楼2楼</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rPr>
        <w:t>201700</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张先生</w:t>
      </w:r>
      <w:r>
        <w:rPr>
          <w:rFonts w:ascii="Times New Roman" w:hAnsi="Times New Roman" w:cs="Times New Roman"/>
          <w:szCs w:val="22"/>
          <w:u w:val="single"/>
        </w:rPr>
        <w:t xml:space="preserve">    </w:t>
      </w:r>
      <w:r>
        <w:rPr>
          <w:rFonts w:ascii="Times New Roman" w:hAnsi="Times New Roman" w:cs="Times New Roman"/>
          <w:szCs w:val="22"/>
        </w:rPr>
        <w:t xml:space="preserve">  </w:t>
      </w:r>
      <w:r>
        <w:rPr>
          <w:rFonts w:hint="eastAsia"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ascii="Times New Roman" w:hAnsi="Times New Roman" w:cs="Times New Roman"/>
          <w:szCs w:val="22"/>
          <w:u w:val="single"/>
        </w:rPr>
        <w:t xml:space="preserve">  </w:t>
      </w:r>
      <w:r>
        <w:rPr>
          <w:rFonts w:hint="eastAsia" w:ascii="Times New Roman" w:hAnsi="Times New Roman" w:cs="Times New Roman"/>
          <w:szCs w:val="22"/>
          <w:u w:val="single"/>
        </w:rPr>
        <w:t>18256553485</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277025122@qq.com</w:t>
      </w:r>
      <w:r>
        <w:rPr>
          <w:rFonts w:ascii="Times New Roman" w:hAnsi="Times New Roman" w:cs="Times New Roman"/>
          <w:szCs w:val="22"/>
          <w:u w:val="single"/>
        </w:rPr>
        <w:t xml:space="preserve">   </w:t>
      </w:r>
      <w:r>
        <w:rPr>
          <w:rFonts w:ascii="Times New Roman" w:hAnsi="Times New Roman" w:cs="Times New Roman"/>
          <w:szCs w:val="22"/>
        </w:rPr>
        <w:t xml:space="preserve">    </w:t>
      </w:r>
    </w:p>
    <w:p>
      <w:pPr>
        <w:pStyle w:val="26"/>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6"/>
        <w:jc w:val="right"/>
        <w:rPr>
          <w:rFonts w:hint="default" w:ascii="Times New Roman" w:hAnsi="Times New Roman"/>
          <w:color w:val="auto"/>
          <w:sz w:val="21"/>
          <w:szCs w:val="22"/>
        </w:rPr>
      </w:pPr>
    </w:p>
    <w:p>
      <w:pPr>
        <w:pStyle w:val="26"/>
        <w:jc w:val="right"/>
        <w:rPr>
          <w:rFonts w:hint="default" w:ascii="Times New Roman" w:hAnsi="Times New Roman"/>
          <w:color w:val="auto"/>
          <w:szCs w:val="28"/>
        </w:rPr>
      </w:pPr>
      <w:r>
        <w:rPr>
          <w:rFonts w:ascii="Times New Roman" w:hAnsi="Times New Roman"/>
          <w:color w:val="auto"/>
          <w:sz w:val="21"/>
          <w:szCs w:val="22"/>
          <w:u w:val="single"/>
        </w:rPr>
        <w:t xml:space="preserve"> 2024 </w:t>
      </w:r>
      <w:r>
        <w:rPr>
          <w:rFonts w:hint="default" w:ascii="Times New Roman" w:hAnsi="Times New Roman"/>
          <w:color w:val="auto"/>
          <w:sz w:val="21"/>
          <w:szCs w:val="22"/>
        </w:rPr>
        <w:t>年</w:t>
      </w:r>
      <w:r>
        <w:rPr>
          <w:rFonts w:ascii="Times New Roman" w:hAnsi="Times New Roman"/>
          <w:color w:val="auto"/>
          <w:sz w:val="21"/>
          <w:szCs w:val="22"/>
          <w:u w:val="single"/>
        </w:rPr>
        <w:t xml:space="preserve"> 03 </w:t>
      </w:r>
      <w:r>
        <w:rPr>
          <w:rFonts w:hint="default" w:ascii="Times New Roman" w:hAnsi="Times New Roman"/>
          <w:color w:val="auto"/>
          <w:sz w:val="21"/>
          <w:szCs w:val="22"/>
        </w:rPr>
        <w:t>月</w:t>
      </w:r>
      <w:r>
        <w:rPr>
          <w:rFonts w:ascii="Times New Roman" w:hAnsi="Times New Roman"/>
          <w:color w:val="auto"/>
          <w:sz w:val="21"/>
          <w:szCs w:val="22"/>
          <w:u w:val="single"/>
        </w:rPr>
        <w:t xml:space="preserve">  </w:t>
      </w:r>
      <w:r>
        <w:rPr>
          <w:rFonts w:hint="eastAsia" w:ascii="Times New Roman" w:hAnsi="Times New Roman"/>
          <w:color w:val="auto"/>
          <w:sz w:val="21"/>
          <w:szCs w:val="22"/>
          <w:u w:val="single"/>
          <w:lang w:val="en-US" w:eastAsia="zh-CN"/>
        </w:rPr>
        <w:t>25</w:t>
      </w:r>
      <w:r>
        <w:rPr>
          <w:rFonts w:ascii="Times New Roman" w:hAnsi="Times New Roman"/>
          <w:color w:val="auto"/>
          <w:sz w:val="21"/>
          <w:szCs w:val="22"/>
          <w:u w:val="single"/>
        </w:rPr>
        <w:t xml:space="preserve">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bookmarkStart w:id="202" w:name="_GoBack"/>
      <w:bookmarkEnd w:id="202"/>
    </w:p>
    <w:p>
      <w:pPr>
        <w:pStyle w:val="3"/>
        <w:numPr>
          <w:ilvl w:val="0"/>
          <w:numId w:val="0"/>
        </w:numPr>
        <w:spacing w:before="312" w:after="312"/>
        <w:rPr>
          <w:rFonts w:ascii="Times New Roman" w:hAnsi="Times New Roman" w:eastAsia="宋体" w:cs="Times New Roman"/>
        </w:rPr>
      </w:pPr>
      <w:bookmarkStart w:id="46"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6"/>
    </w:p>
    <w:p>
      <w:pPr>
        <w:spacing w:line="440" w:lineRule="exact"/>
        <w:jc w:val="center"/>
        <w:outlineLvl w:val="1"/>
        <w:rPr>
          <w:rFonts w:ascii="Times New Roman" w:hAnsi="Times New Roman" w:eastAsia="黑体" w:cs="Times New Roman"/>
          <w:sz w:val="28"/>
          <w:szCs w:val="28"/>
        </w:rPr>
      </w:pPr>
      <w:bookmarkStart w:id="47" w:name="_Toc16069"/>
      <w:bookmarkStart w:id="48" w:name="_Toc55466811"/>
      <w:bookmarkStart w:id="49" w:name="_Toc19501"/>
      <w:bookmarkStart w:id="50" w:name="_Toc26656928"/>
      <w:bookmarkStart w:id="51" w:name="_Toc29381_WPSOffice_Level2"/>
      <w:r>
        <w:rPr>
          <w:rFonts w:ascii="Times New Roman" w:hAnsi="Times New Roman" w:eastAsia="黑体" w:cs="Times New Roman"/>
          <w:sz w:val="28"/>
          <w:szCs w:val="28"/>
        </w:rPr>
        <w:t>供应商须知前附表</w:t>
      </w:r>
      <w:bookmarkEnd w:id="47"/>
      <w:bookmarkEnd w:id="48"/>
      <w:bookmarkEnd w:id="49"/>
      <w:bookmarkEnd w:id="50"/>
      <w:bookmarkEnd w:id="51"/>
    </w:p>
    <w:tbl>
      <w:tblPr>
        <w:tblStyle w:val="20"/>
        <w:tblW w:w="8926" w:type="dxa"/>
        <w:tblInd w:w="0" w:type="dxa"/>
        <w:tblLayout w:type="fixed"/>
        <w:tblCellMar>
          <w:top w:w="0" w:type="dxa"/>
          <w:left w:w="108" w:type="dxa"/>
          <w:bottom w:w="0" w:type="dxa"/>
          <w:right w:w="108" w:type="dxa"/>
        </w:tblCellMar>
      </w:tblPr>
      <w:tblGrid>
        <w:gridCol w:w="1000"/>
        <w:gridCol w:w="2572"/>
        <w:gridCol w:w="5354"/>
      </w:tblGrid>
      <w:tr>
        <w:tblPrEx>
          <w:tblCellMar>
            <w:top w:w="0" w:type="dxa"/>
            <w:left w:w="108" w:type="dxa"/>
            <w:bottom w:w="0" w:type="dxa"/>
            <w:right w:w="108" w:type="dxa"/>
          </w:tblCellMar>
        </w:tblPrEx>
        <w:trPr>
          <w:trHeight w:val="58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合格   </w:t>
            </w:r>
            <w:r>
              <w:rPr>
                <w:rFonts w:hint="eastAsia"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1.1.2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安全目标</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安全无事故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sym w:font="Wingdings 2" w:char="F052"/>
            </w:r>
            <w:r>
              <w:rPr>
                <w:rFonts w:ascii="Times New Roman" w:hAnsi="Times New Roman" w:eastAsia="宋体" w:cs="Times New Roman"/>
                <w:szCs w:val="21"/>
              </w:rPr>
              <w:t>单价</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总价</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cs="Times New Roman" w:asciiTheme="majorEastAsia" w:hAnsiTheme="majorEastAsia" w:eastAsiaTheme="majorEastAsia"/>
                <w:b/>
                <w:bCs/>
                <w:szCs w:val="21"/>
                <w:u w:val="single"/>
              </w:rPr>
              <w:t xml:space="preserve">投标人需结合采购人提供验收版初步方案自行深化，满足上海市相关验收规定，不再单独列实体清单项，由此产生的施工、拆除、验收协调等所有费用均在报价清单中的施工措施费-交通划线及交通标识验收咨询费中综合考虑，成交后不再额外增加任何相关费用 </w:t>
            </w:r>
            <w:r>
              <w:rPr>
                <w:rFonts w:hint="eastAsia" w:ascii="Times New Roman" w:hAnsi="Times New Roman" w:eastAsia="宋体" w:cs="Times New Roman"/>
                <w:szCs w:val="21"/>
                <w:u w:val="single"/>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w:t>
            </w:r>
            <w:r>
              <w:rPr>
                <w:rFonts w:hint="eastAsia" w:ascii="Times New Roman" w:hAnsi="Times New Roman" w:eastAsia="宋体" w:cs="Times New Roman"/>
                <w:u w:val="single"/>
              </w:rPr>
              <w:t xml:space="preserve">  /       </w:t>
            </w:r>
            <w:r>
              <w:rPr>
                <w:rFonts w:hint="eastAsia" w:ascii="Times New Roman" w:hAnsi="Times New Roman" w:eastAsia="宋体" w:cs="Times New Roman"/>
                <w:szCs w:val="21"/>
                <w:u w:val="single"/>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响应文件正副本份数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贰  </w:t>
            </w:r>
            <w:r>
              <w:rPr>
                <w:rFonts w:hint="eastAsia" w:ascii="Times New Roman" w:hAnsi="Times New Roman" w:eastAsia="宋体" w:cs="Times New Roman"/>
                <w:szCs w:val="21"/>
              </w:rPr>
              <w:t>份（其中正本</w:t>
            </w:r>
            <w:r>
              <w:rPr>
                <w:rFonts w:hint="eastAsia" w:ascii="Times New Roman" w:hAnsi="Times New Roman" w:eastAsia="宋体" w:cs="Times New Roman"/>
                <w:szCs w:val="21"/>
                <w:u w:val="single"/>
              </w:rPr>
              <w:t xml:space="preserve"> 壹 </w:t>
            </w:r>
            <w:r>
              <w:rPr>
                <w:rFonts w:hint="eastAsia" w:ascii="Times New Roman" w:hAnsi="Times New Roman" w:eastAsia="宋体" w:cs="Times New Roman"/>
                <w:szCs w:val="21"/>
              </w:rPr>
              <w:t>份，副本</w:t>
            </w:r>
            <w:r>
              <w:rPr>
                <w:rFonts w:ascii="Times New Roman" w:hAnsi="Times New Roman" w:eastAsia="宋体" w:cs="Times New Roman"/>
                <w:szCs w:val="21"/>
              </w:rPr>
              <w:t>_</w:t>
            </w:r>
            <w:r>
              <w:rPr>
                <w:rFonts w:hint="eastAsia" w:ascii="Times New Roman" w:hAnsi="Times New Roman" w:eastAsia="宋体" w:cs="Times New Roman"/>
                <w:szCs w:val="21"/>
                <w:u w:val="single"/>
              </w:rPr>
              <w:t xml:space="preserve">壹 </w:t>
            </w:r>
            <w:r>
              <w:rPr>
                <w:rFonts w:hint="eastAsia" w:ascii="Times New Roman" w:hAnsi="Times New Roman" w:eastAsia="宋体" w:cs="Times New Roman"/>
                <w:szCs w:val="21"/>
              </w:rPr>
              <w:t>份），正本和副本的封面右上角上应清楚地标记“正本”或“副本”的字样。 当副本和正本不一致时，以正本文件为准。同时提供响应文件盖章扫描件</w:t>
            </w:r>
            <w:r>
              <w:rPr>
                <w:rFonts w:hint="eastAsia" w:ascii="Times New Roman" w:hAnsi="Times New Roman" w:eastAsia="宋体" w:cs="Times New Roman"/>
                <w:b/>
                <w:bCs/>
                <w:szCs w:val="21"/>
              </w:rPr>
              <w:t>电子版（U盘）一份</w:t>
            </w: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6.2.3（4）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szCs w:val="21"/>
              </w:rPr>
              <w:t>其他不予计入评审基准价计算的情形</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770"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金额：</w:t>
            </w:r>
            <w:r>
              <w:rPr>
                <w:rFonts w:hint="eastAsia" w:ascii="Times New Roman" w:hAnsi="Times New Roman" w:eastAsia="宋体" w:cs="Times New Roman"/>
                <w:szCs w:val="21"/>
              </w:rPr>
              <w:t>成交价格的</w:t>
            </w:r>
            <w:r>
              <w:rPr>
                <w:rFonts w:ascii="Times New Roman" w:hAnsi="Times New Roman" w:eastAsia="宋体" w:cs="Times New Roman"/>
                <w:szCs w:val="21"/>
              </w:rPr>
              <w:t xml:space="preserve">5% </w:t>
            </w:r>
          </w:p>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形式：</w:t>
            </w:r>
            <w:r>
              <w:rPr>
                <w:rFonts w:hint="eastAsia" w:ascii="Times New Roman" w:hAnsi="Times New Roman" w:eastAsia="宋体" w:cs="Times New Roman"/>
                <w:szCs w:val="21"/>
              </w:rPr>
              <w:t>现金或银行保函</w:t>
            </w:r>
          </w:p>
        </w:tc>
      </w:tr>
      <w:tr>
        <w:tblPrEx>
          <w:tblCellMar>
            <w:top w:w="0" w:type="dxa"/>
            <w:left w:w="108" w:type="dxa"/>
            <w:bottom w:w="0" w:type="dxa"/>
            <w:right w:w="108" w:type="dxa"/>
          </w:tblCellMar>
        </w:tblPrEx>
        <w:trPr>
          <w:trHeight w:val="37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7.4.3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履约保证金的退还</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视有无违约情况，在本工程竣工验收合格且结算完成后一个月内一次性无息退还履约保证金（扣除相应违约金）</w:t>
            </w:r>
          </w:p>
        </w:tc>
      </w:tr>
      <w:tr>
        <w:tblPrEx>
          <w:tblCellMar>
            <w:top w:w="0" w:type="dxa"/>
            <w:left w:w="108" w:type="dxa"/>
            <w:bottom w:w="0" w:type="dxa"/>
            <w:right w:w="108" w:type="dxa"/>
          </w:tblCellMar>
        </w:tblPrEx>
        <w:trPr>
          <w:trHeight w:val="40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34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评审方式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u w:val="single"/>
              </w:rPr>
              <w:t xml:space="preserve">  报价按不含税进行评审，评审价选择方法一  </w:t>
            </w:r>
          </w:p>
        </w:tc>
      </w:tr>
      <w:tr>
        <w:tblPrEx>
          <w:tblCellMar>
            <w:top w:w="0" w:type="dxa"/>
            <w:left w:w="108" w:type="dxa"/>
            <w:bottom w:w="0" w:type="dxa"/>
            <w:right w:w="108" w:type="dxa"/>
          </w:tblCellMar>
        </w:tblPrEx>
        <w:trPr>
          <w:trHeight w:val="34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10.2</w:t>
            </w:r>
          </w:p>
        </w:tc>
        <w:tc>
          <w:tcPr>
            <w:tcW w:w="257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宋体" w:cs="Times New Roman"/>
                <w:b/>
                <w:bCs/>
              </w:rPr>
            </w:pPr>
          </w:p>
          <w:p>
            <w:pPr>
              <w:spacing w:line="480" w:lineRule="exact"/>
              <w:jc w:val="center"/>
              <w:rPr>
                <w:rFonts w:ascii="Times New Roman" w:hAnsi="Times New Roman" w:eastAsia="宋体" w:cs="Times New Roman"/>
                <w:b/>
                <w:bCs/>
              </w:rPr>
            </w:pPr>
          </w:p>
          <w:p>
            <w:pPr>
              <w:spacing w:line="480" w:lineRule="exact"/>
              <w:jc w:val="center"/>
              <w:rPr>
                <w:rFonts w:ascii="Times New Roman" w:hAnsi="Times New Roman" w:eastAsia="宋体" w:cs="Times New Roman"/>
                <w:b/>
                <w:bCs/>
              </w:rPr>
            </w:pPr>
          </w:p>
          <w:p>
            <w:pPr>
              <w:spacing w:line="480" w:lineRule="exact"/>
              <w:jc w:val="center"/>
              <w:rPr>
                <w:rFonts w:ascii="Times New Roman" w:hAnsi="Times New Roman" w:eastAsia="宋体" w:cs="Times New Roman"/>
                <w:szCs w:val="21"/>
              </w:rPr>
            </w:pPr>
            <w:r>
              <w:rPr>
                <w:rFonts w:ascii="Times New Roman" w:hAnsi="Times New Roman" w:eastAsia="宋体" w:cs="Times New Roman"/>
                <w:b/>
                <w:bCs/>
              </w:rPr>
              <w:t>特别提醒</w:t>
            </w:r>
          </w:p>
        </w:tc>
        <w:tc>
          <w:tcPr>
            <w:tcW w:w="5354" w:type="dxa"/>
            <w:tcBorders>
              <w:top w:val="single" w:color="auto" w:sz="4" w:space="0"/>
              <w:left w:val="single" w:color="auto" w:sz="4" w:space="0"/>
              <w:bottom w:val="single" w:color="auto" w:sz="4" w:space="0"/>
              <w:right w:val="single" w:color="auto" w:sz="4" w:space="0"/>
            </w:tcBorders>
          </w:tcPr>
          <w:p>
            <w:pPr>
              <w:spacing w:line="480" w:lineRule="exact"/>
              <w:jc w:val="left"/>
              <w:rPr>
                <w:rFonts w:ascii="Times New Roman" w:hAnsi="Times New Roman" w:eastAsia="宋体" w:cs="Times New Roman"/>
                <w:b/>
                <w:bCs/>
              </w:rPr>
            </w:pPr>
            <w:r>
              <w:rPr>
                <w:rFonts w:ascii="Times New Roman" w:hAnsi="Times New Roman" w:eastAsia="宋体" w:cs="Times New Roman"/>
                <w:b/>
                <w:bCs/>
              </w:rPr>
              <w:t>1.本项目验收包括交警总队、路政及市交通委等相关政府部门验收和采购人交付验收两次；供应商应充分考虑验收相关风险及成本并体现在报价中，中选后不在因此调整合同价款。</w:t>
            </w:r>
          </w:p>
          <w:p>
            <w:pPr>
              <w:spacing w:line="480" w:lineRule="exact"/>
              <w:jc w:val="left"/>
              <w:rPr>
                <w:rFonts w:ascii="Times New Roman" w:hAnsi="Times New Roman" w:eastAsia="宋体" w:cs="Times New Roman"/>
                <w:szCs w:val="21"/>
              </w:rPr>
            </w:pPr>
            <w:r>
              <w:rPr>
                <w:rFonts w:ascii="Times New Roman" w:hAnsi="Times New Roman" w:eastAsia="宋体" w:cs="Times New Roman"/>
                <w:b/>
                <w:bCs/>
              </w:rPr>
              <w:t>2.若供应商未能通过政府主管部门验收，除承担合同约定的相关违约责任外，供应商还需承担10万元违约金，并承担由此给采购人造成的全部损失，同时采购人有权解除合同。</w:t>
            </w:r>
          </w:p>
        </w:tc>
      </w:tr>
    </w:tbl>
    <w:p>
      <w:r>
        <w:rPr>
          <w:rFonts w:ascii="Times New Roman" w:hAnsi="Times New Roman" w:eastAsia="宋体" w:cs="Times New Roman"/>
          <w:szCs w:val="21"/>
        </w:rPr>
        <w:t>注：供应商须知正文与前附表内容不一致时，以供应商须知前附表的内容为准。相</w:t>
      </w:r>
      <w:r>
        <w:rPr>
          <w:rFonts w:hint="eastAsia" w:ascii="Times New Roman" w:hAnsi="Times New Roman" w:cs="Times New Roman"/>
          <w:szCs w:val="21"/>
        </w:rPr>
        <w:t>应条款无相关要求的在前附表中打“/”。</w:t>
      </w:r>
    </w:p>
    <w:p>
      <w:pPr>
        <w:rPr>
          <w:rFonts w:ascii="Times New Roman" w:hAnsi="Times New Roman" w:eastAsia="黑体" w:cs="Times New Roman"/>
          <w:bCs/>
          <w:sz w:val="24"/>
          <w:szCs w:val="32"/>
        </w:rPr>
      </w:pPr>
      <w:bookmarkStart w:id="52" w:name="_Toc26656938"/>
      <w:bookmarkStart w:id="53" w:name="_Toc9067720"/>
      <w:bookmarkStart w:id="54" w:name="_Toc14201207"/>
      <w:r>
        <w:rPr>
          <w:rFonts w:ascii="Times New Roman" w:hAnsi="Times New Roman" w:eastAsia="黑体" w:cs="Times New Roman"/>
          <w:bCs/>
          <w:sz w:val="24"/>
          <w:szCs w:val="32"/>
        </w:rPr>
        <w:br w:type="page"/>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w:t>
      </w:r>
      <w:r>
        <w:rPr>
          <w:rFonts w:hint="eastAsia" w:ascii="Times New Roman" w:hAnsi="Times New Roman" w:eastAsia="黑体" w:cs="Times New Roman"/>
          <w:bCs/>
          <w:sz w:val="24"/>
          <w:szCs w:val="32"/>
        </w:rPr>
        <w:t>要求和安全目标</w:t>
      </w:r>
    </w:p>
    <w:p>
      <w:pPr>
        <w:spacing w:line="440" w:lineRule="exact"/>
        <w:ind w:firstLine="42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pStyle w:val="2"/>
        <w:rPr>
          <w:rFonts w:ascii="Times New Roman" w:hAnsi="Times New Roman" w:cs="Times New Roman"/>
          <w:szCs w:val="21"/>
        </w:rPr>
      </w:pPr>
      <w:r>
        <w:rPr>
          <w:rFonts w:hint="eastAsia"/>
        </w:rPr>
        <w:t xml:space="preserve">         </w:t>
      </w:r>
      <w:r>
        <w:rPr>
          <w:rFonts w:hint="eastAsia" w:ascii="Times New Roman" w:hAnsi="Times New Roman" w:cs="Times New Roman"/>
          <w:szCs w:val="21"/>
        </w:rPr>
        <w:t>1.1.2本合同包的安全目标：见供应商须知前附表。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供应商应具备承担本</w:t>
      </w:r>
      <w:r>
        <w:rPr>
          <w:rFonts w:hint="eastAsia" w:ascii="Times New Roman" w:hAnsi="Times New Roman" w:cs="Times New Roman"/>
          <w:szCs w:val="21"/>
        </w:rPr>
        <w:t>项目</w:t>
      </w:r>
      <w:r>
        <w:rPr>
          <w:rFonts w:ascii="Times New Roman" w:hAnsi="Times New Roman" w:cs="Times New Roman"/>
          <w:szCs w:val="21"/>
        </w:rPr>
        <w:t xml:space="preserve">施工的资质条件、能力和信誉：见第一章 </w:t>
      </w:r>
      <w:r>
        <w:rPr>
          <w:rFonts w:hint="eastAsia" w:ascii="Times New Roman" w:hAnsi="Times New Roman" w:cs="Times New Roman"/>
          <w:szCs w:val="21"/>
          <w:u w:val="single"/>
        </w:rPr>
        <w:t xml:space="preserve">采购公告 </w:t>
      </w:r>
      <w:r>
        <w:rPr>
          <w:rFonts w:hint="eastAsia" w:ascii="Times New Roman" w:hAnsi="Times New Roman" w:cs="Times New Roman"/>
          <w:szCs w:val="21"/>
        </w:rPr>
        <w:t>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合同内容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w:t>
      </w:r>
      <w:bookmarkStart w:id="55" w:name="_Hlk118809384"/>
      <w:r>
        <w:rPr>
          <w:rFonts w:hint="eastAsia" w:ascii="Times New Roman" w:hAnsi="Times New Roman" w:cs="Times New Roman"/>
        </w:rPr>
        <w:t>税率和</w:t>
      </w:r>
      <w:r>
        <w:rPr>
          <w:rFonts w:ascii="Times New Roman" w:hAnsi="Times New Roman" w:cs="Times New Roman"/>
        </w:rPr>
        <w:t>税金</w:t>
      </w:r>
      <w:bookmarkEnd w:id="55"/>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 xml:space="preserve"> 固定单价 </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pPr>
      <w:r>
        <w:rPr>
          <w:rFonts w:ascii="Times New Roman" w:hAnsi="Times New Roman" w:cs="Times New Roman"/>
        </w:rPr>
        <w:t>（3）供应商存在以他人名义报价、与他人串通报价、以行贿手段谋取成交、弄虚作假等行为；</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szCs w:val="21"/>
        </w:rPr>
        <w:t>见供应商须知前附表</w:t>
      </w:r>
      <w:r>
        <w:rPr>
          <w:rFonts w:hint="eastAsia" w:ascii="Times New Roman" w:hAnsi="Times New Roman"/>
          <w:szCs w:val="21"/>
        </w:rPr>
        <w:t>（</w:t>
      </w:r>
      <w:r>
        <w:rPr>
          <w:rFonts w:ascii="Times New Roman" w:hAnsi="Times New Roman"/>
          <w:szCs w:val="21"/>
        </w:rPr>
        <w:t>其他情形</w:t>
      </w:r>
      <w:r>
        <w:rPr>
          <w:rFonts w:hint="eastAsia" w:ascii="Times New Roman" w:hAnsi="Times New Roman"/>
          <w:szCs w:val="21"/>
        </w:rPr>
        <w:t>）</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w:t>
      </w:r>
      <w:r>
        <w:rPr>
          <w:rFonts w:hint="eastAsia" w:ascii="Times New Roman" w:hAnsi="Times New Roman" w:cs="Times New Roman"/>
        </w:rPr>
        <w:t>安全目标、</w:t>
      </w:r>
      <w:r>
        <w:rPr>
          <w:rFonts w:ascii="Times New Roman" w:hAnsi="Times New Roman" w:cs="Times New Roman"/>
        </w:rPr>
        <w:t>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 xml:space="preserve"> </w:t>
      </w:r>
      <w:r>
        <w:rPr>
          <w:rFonts w:ascii="Times New Roman" w:hAnsi="Times New Roman" w:cs="Times New Roman"/>
          <w:u w:val="single"/>
        </w:rPr>
        <w:t>一</w:t>
      </w:r>
      <w:r>
        <w:rPr>
          <w:rFonts w:hint="eastAsia" w:ascii="Times New Roman" w:hAnsi="Times New Roman" w:cs="Times New Roman"/>
          <w:u w:val="single"/>
        </w:rPr>
        <w:t xml:space="preserve"> </w:t>
      </w:r>
      <w:r>
        <w:rPr>
          <w:rFonts w:ascii="Times New Roman" w:hAnsi="Times New Roman" w:cs="Times New Roman"/>
        </w:rPr>
        <w:t>份数。正本和副本的封面右上角上应清楚地标记“正本”或“副本”的字样。当副本和正本不一致时，以正本文件为准。</w:t>
      </w:r>
      <w:r>
        <w:rPr>
          <w:rFonts w:hint="eastAsia" w:ascii="Times New Roman" w:hAnsi="Times New Roman" w:eastAsia="宋体" w:cs="Times New Roman"/>
          <w:szCs w:val="21"/>
        </w:rPr>
        <w:t>同时提供响应文件盖章扫描件电子版（U盘）一份。</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安全目标、</w:t>
      </w:r>
      <w:r>
        <w:rPr>
          <w:rFonts w:ascii="Times New Roman" w:hAnsi="Times New Roman" w:cs="Times New Roman"/>
          <w:bCs/>
        </w:rPr>
        <w:t>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w:t>
      </w:r>
      <w:r>
        <w:rPr>
          <w:rFonts w:hint="eastAsia" w:ascii="Times New Roman" w:hAnsi="Times New Roman"/>
        </w:rPr>
        <w:t>、记录人</w:t>
      </w:r>
      <w:r>
        <w:rPr>
          <w:rFonts w:ascii="Times New Roman" w:hAnsi="Times New Roman"/>
        </w:rPr>
        <w:t>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.2</w:t>
      </w:r>
      <w:r>
        <w:rPr>
          <w:rFonts w:hint="eastAsia" w:ascii="Times New Roman" w:hAnsi="Times New Roman" w:cs="Times New Roman"/>
        </w:rPr>
        <w:t xml:space="preserve">.3 </w:t>
      </w:r>
      <w:r>
        <w:rPr>
          <w:rFonts w:ascii="Times New Roman" w:hAnsi="Times New Roman" w:cs="Times New Roman"/>
        </w:rPr>
        <w:t xml:space="preserve">若采购人发现响应文件出现以下任一情况，其报价将不再参加评审基准价的计算： </w:t>
      </w:r>
    </w:p>
    <w:p>
      <w:pPr>
        <w:spacing w:line="440" w:lineRule="exact"/>
        <w:ind w:firstLine="420"/>
        <w:rPr>
          <w:rFonts w:ascii="Times New Roman" w:hAnsi="Times New Roman" w:cs="Times New Roman"/>
        </w:rPr>
      </w:pPr>
      <w:r>
        <w:rPr>
          <w:rFonts w:ascii="Times New Roman" w:hAnsi="Times New Roman" w:cs="Times New Roman"/>
        </w:rPr>
        <w:t>（1）报价超出采购人公布的最高限价；</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）未在报价函上填写总报价； </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）报价函中的报价与已标价的报价清单总报价不一致（四舍五入除外）</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（4）见供应商须知前附表（其他情形）。</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hint="eastAsia" w:ascii="Times New Roman" w:hAnsi="Times New Roman" w:cs="Times New Roman"/>
        </w:rPr>
        <w:t>成交候选人将于</w:t>
      </w:r>
      <w:bookmarkStart w:id="56" w:name="_Hlk118809441"/>
      <w:r>
        <w:rPr>
          <w:rFonts w:hint="eastAsia" w:ascii="Times New Roman" w:hAnsi="Times New Roman" w:cs="Times New Roman"/>
          <w:u w:val="single"/>
        </w:rPr>
        <w:t xml:space="preserve">   安徽安联高速公路有限公司 （网址：http://www.ahanlian.com/）  </w:t>
      </w:r>
      <w:bookmarkEnd w:id="56"/>
      <w:r>
        <w:rPr>
          <w:rFonts w:hint="eastAsia" w:ascii="Times New Roman" w:hAnsi="Times New Roman" w:cs="Times New Roman"/>
        </w:rPr>
        <w:t>公示，</w:t>
      </w:r>
      <w:r>
        <w:rPr>
          <w:rFonts w:ascii="Times New Roman" w:hAnsi="Times New Roman" w:cs="Times New Roman"/>
        </w:rPr>
        <w:t>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ascii="Times New Roman" w:hAnsi="Times New Roman" w:cs="Times New Roman"/>
        </w:rPr>
        <w:t>7.4.3 履约保证金的退还：</w:t>
      </w:r>
      <w:r>
        <w:rPr>
          <w:rFonts w:hint="eastAsia" w:ascii="Times New Roman" w:hAnsi="Times New Roman" w:cs="Times New Roman"/>
        </w:rPr>
        <w:t>见供应商须知前附表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hint="eastAsia" w:ascii="Times New Roman" w:hAnsi="Times New Roman" w:cs="Times New Roman"/>
        </w:rPr>
        <w:t xml:space="preserve">  </w:t>
      </w:r>
      <w:r>
        <w:rPr>
          <w:rFonts w:ascii="Times New Roman" w:hAnsi="Times New Roman" w:cs="Times New Roman"/>
          <w:u w:val="single"/>
        </w:rPr>
        <w:t>30</w:t>
      </w:r>
      <w:r>
        <w:rPr>
          <w:rFonts w:hint="eastAsia" w:ascii="Times New Roman" w:hAnsi="Times New Roman" w:cs="Times New Roman"/>
          <w:u w:val="single"/>
        </w:rPr>
        <w:t xml:space="preserve"> </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57" w:name="_Toc26656993"/>
      <w:bookmarkStart w:id="58"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57"/>
      <w:bookmarkEnd w:id="58"/>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r>
        <w:rPr>
          <w:rFonts w:hint="eastAsia" w:ascii="Times New Roman" w:hAnsi="Times New Roman" w:cs="Times New Roman"/>
          <w:u w:val="single"/>
        </w:rPr>
        <w:t xml:space="preserve">综合部，联系电话：021-39212022 </w:t>
      </w:r>
      <w:r>
        <w:rPr>
          <w:rFonts w:hint="eastAsia"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10.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2"/>
    <w:bookmarkEnd w:id="53"/>
    <w:bookmarkEnd w:id="54"/>
    <w:p>
      <w:pPr>
        <w:widowControl/>
        <w:jc w:val="left"/>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bookmarkStart w:id="59"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59"/>
    </w:p>
    <w:p>
      <w:pPr>
        <w:spacing w:after="312" w:afterLines="100" w:line="420" w:lineRule="exact"/>
        <w:ind w:firstLine="560"/>
        <w:jc w:val="center"/>
        <w:rPr>
          <w:rFonts w:ascii="Times New Roman" w:hAnsi="Times New Roman" w:eastAsia="黑体" w:cs="Times New Roman"/>
          <w:sz w:val="28"/>
          <w:szCs w:val="28"/>
        </w:rPr>
      </w:pPr>
      <w:bookmarkStart w:id="60" w:name="_Toc32520_WPSOffice_Level1"/>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2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1"/>
        <w:gridCol w:w="1546"/>
        <w:gridCol w:w="1535"/>
        <w:gridCol w:w="17"/>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7" w:type="dxa"/>
            <w:gridSpan w:val="2"/>
            <w:vAlign w:val="center"/>
          </w:tcPr>
          <w:p>
            <w:pPr>
              <w:widowControl/>
              <w:ind w:firstLine="422"/>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35"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gridSpan w:val="2"/>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535"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gridSpan w:val="2"/>
            <w:tcMar>
              <w:left w:w="75" w:type="dxa"/>
            </w:tcMar>
            <w:vAlign w:val="center"/>
          </w:tcPr>
          <w:p>
            <w:pPr>
              <w:widowControl/>
              <w:adjustRightInd w:val="0"/>
              <w:snapToGrid w:val="0"/>
              <w:jc w:val="left"/>
            </w:pPr>
            <w:r>
              <w:rPr>
                <w:rFonts w:hint="eastAsia"/>
              </w:rPr>
              <w:t>按综合得分由高到低的顺序依次推荐成交候选人：</w:t>
            </w:r>
          </w:p>
          <w:p>
            <w:pPr>
              <w:widowControl/>
              <w:adjustRightInd w:val="0"/>
              <w:snapToGrid w:val="0"/>
              <w:jc w:val="left"/>
            </w:pPr>
            <w:r>
              <w:rPr>
                <w:rFonts w:hint="eastAsia" w:ascii="Times New Roman" w:hAnsi="Times New Roman" w:cs="Times New Roman"/>
                <w:kern w:val="0"/>
                <w:szCs w:val="21"/>
              </w:rPr>
              <w:sym w:font="Wingdings 2" w:char="F052"/>
            </w:r>
            <w:r>
              <w:rPr>
                <w:rFonts w:hint="eastAsia"/>
              </w:rPr>
              <w:t>当综合得分相等时，以评审价得分高的优先；评审价得分也相等的，以评审价低的优先；评审价也相等的，以递交响应文件在前的优先。</w:t>
            </w:r>
          </w:p>
          <w:p>
            <w:pPr>
              <w:pStyle w:val="2"/>
              <w:adjustRightInd w:val="0"/>
              <w:snapToGrid w:val="0"/>
            </w:pPr>
            <w:r>
              <w:rPr>
                <w:rFonts w:hint="eastAsia"/>
              </w:rPr>
              <w:t>□</w:t>
            </w:r>
            <w:r>
              <w:rPr>
                <w:rFonts w:hint="eastAsia" w:ascii="Times New Roman" w:hAnsi="Times New Roman" w:cs="Times New Roman"/>
                <w:kern w:val="0"/>
                <w:szCs w:val="21"/>
              </w:rPr>
              <w:t>______</w:t>
            </w:r>
            <w:r>
              <w:rPr>
                <w:rFonts w:ascii="Times New Roman" w:hAnsi="Times New Roman" w:cs="Times New Roman"/>
                <w:kern w:val="0"/>
                <w:szCs w:val="21"/>
              </w:rPr>
              <w:t>/</w:t>
            </w:r>
            <w:r>
              <w:rPr>
                <w:rFonts w:hint="eastAsia" w:ascii="Times New Roman" w:hAnsi="Times New Roman" w:cs="Times New Roman"/>
                <w:kern w:val="0"/>
                <w:szCs w:val="21"/>
              </w:rPr>
              <w:t>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7" w:type="dxa"/>
            <w:gridSpan w:val="2"/>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52" w:type="dxa"/>
            <w:gridSpan w:val="2"/>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 xml:space="preserve">资质条件、 </w:t>
            </w:r>
            <w:r>
              <w:rPr>
                <w:rFonts w:ascii="Times New Roman" w:hAnsi="Times New Roman" w:cs="Times New Roman"/>
                <w:kern w:val="0"/>
                <w:szCs w:val="21"/>
              </w:rPr>
              <w:t xml:space="preserve">    </w:t>
            </w:r>
            <w:r>
              <w:rPr>
                <w:rFonts w:hint="eastAsia" w:ascii="Times New Roman" w:hAnsi="Times New Roman" w:cs="Times New Roman"/>
                <w:kern w:val="0"/>
                <w:szCs w:val="21"/>
              </w:rPr>
              <w:t xml:space="preserve">能力、信誉、 </w:t>
            </w:r>
            <w:r>
              <w:rPr>
                <w:rFonts w:ascii="Times New Roman" w:hAnsi="Times New Roman" w:cs="Times New Roman"/>
                <w:kern w:val="0"/>
                <w:szCs w:val="21"/>
              </w:rPr>
              <w:t xml:space="preserve"> </w:t>
            </w:r>
            <w:r>
              <w:rPr>
                <w:rFonts w:hint="eastAsia" w:ascii="Times New Roman" w:hAnsi="Times New Roman" w:cs="Times New Roman"/>
                <w:kern w:val="0"/>
                <w:szCs w:val="21"/>
              </w:rPr>
              <w:t>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安全目标</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符合第二章“供应商须知”第1.1.2项规定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w:t>
            </w:r>
            <w:r>
              <w:rPr>
                <w:rFonts w:hint="eastAsia" w:ascii="Times New Roman" w:hAnsi="Times New Roman" w:cs="Times New Roman"/>
              </w:rPr>
              <w:t>税金不可竞争费用，按照规定的标准计取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7</w:t>
            </w:r>
            <w:r>
              <w:rPr>
                <w:rFonts w:ascii="Times New Roman" w:hAnsi="Times New Roman" w:cs="Times New Roman"/>
              </w:rPr>
              <w:t>）已标价</w:t>
            </w:r>
            <w:r>
              <w:rPr>
                <w:rFonts w:ascii="Times New Roman" w:hAnsi="Times New Roman" w:cs="Times New Roman"/>
                <w:kern w:val="0"/>
                <w:szCs w:val="21"/>
              </w:rPr>
              <w:t>工程量清单中未更改询比文件确定的暂列金额。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line="360" w:lineRule="atLeast"/>
        <w:jc w:val="center"/>
        <w:rPr>
          <w:rFonts w:ascii="Times New Roman" w:hAnsi="Times New Roman" w:cs="Times New Roman"/>
        </w:rPr>
      </w:pPr>
    </w:p>
    <w:tbl>
      <w:tblPr>
        <w:tblStyle w:val="2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1419"/>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vAlign w:val="center"/>
          </w:tcPr>
          <w:p>
            <w:pPr>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419" w:type="dxa"/>
            <w:tcMar>
              <w:left w:w="75" w:type="dxa"/>
            </w:tcMar>
            <w:vAlign w:val="center"/>
          </w:tcPr>
          <w:p>
            <w:pPr>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pPr>
              <w:widowControl/>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419" w:type="dxa"/>
            <w:tcMar>
              <w:left w:w="75" w:type="dxa"/>
            </w:tcMar>
            <w:vAlign w:val="center"/>
          </w:tcPr>
          <w:p>
            <w:pPr>
              <w:snapToGrid w:val="0"/>
              <w:jc w:val="left"/>
              <w:rPr>
                <w:rFonts w:ascii="Times New Roman" w:hAnsi="Times New Roman" w:cs="Times New Roman"/>
                <w:bCs/>
                <w:kern w:val="0"/>
                <w:szCs w:val="21"/>
              </w:rPr>
            </w:pPr>
            <w:r>
              <w:rPr>
                <w:rFonts w:ascii="Times New Roman" w:hAnsi="Times New Roman" w:cs="Times New Roman"/>
                <w:szCs w:val="21"/>
              </w:rPr>
              <w:t>分值构成（100分）</w:t>
            </w:r>
          </w:p>
        </w:tc>
        <w:tc>
          <w:tcPr>
            <w:tcW w:w="6232" w:type="dxa"/>
            <w:vAlign w:val="center"/>
          </w:tcPr>
          <w:p>
            <w:pPr>
              <w:spacing w:line="360" w:lineRule="atLeast"/>
              <w:ind w:firstLine="420"/>
              <w:rPr>
                <w:rFonts w:ascii="Times New Roman" w:hAnsi="Times New Roman" w:cs="Times New Roman"/>
                <w:szCs w:val="21"/>
              </w:rPr>
            </w:pPr>
            <w:r>
              <w:rPr>
                <w:rFonts w:hint="eastAsia" w:ascii="Times New Roman" w:hAnsi="Times New Roman" w:cs="Times New Roman"/>
                <w:szCs w:val="21"/>
              </w:rPr>
              <w:t>业绩</w:t>
            </w:r>
            <w:r>
              <w:rPr>
                <w:rFonts w:ascii="Times New Roman" w:hAnsi="Times New Roman" w:cs="Times New Roman"/>
                <w:szCs w:val="21"/>
              </w:rPr>
              <w:t>：</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20  </w:t>
            </w:r>
            <w:r>
              <w:rPr>
                <w:rFonts w:ascii="Times New Roman" w:hAnsi="Times New Roman" w:cs="Times New Roman"/>
                <w:szCs w:val="21"/>
              </w:rPr>
              <w:t>分</w:t>
            </w:r>
          </w:p>
          <w:p>
            <w:pPr>
              <w:spacing w:line="360" w:lineRule="atLeast"/>
              <w:ind w:firstLine="420"/>
              <w:rPr>
                <w:rFonts w:ascii="Times New Roman" w:hAnsi="Times New Roman" w:cs="Times New Roman"/>
                <w:szCs w:val="21"/>
              </w:rPr>
            </w:pPr>
            <w:r>
              <w:rPr>
                <w:rFonts w:ascii="Times New Roman" w:hAnsi="Times New Roman" w:cs="Times New Roman"/>
                <w:szCs w:val="21"/>
              </w:rPr>
              <w:t>施工组织设计：</w:t>
            </w:r>
            <w:r>
              <w:rPr>
                <w:rFonts w:ascii="Times New Roman" w:hAnsi="Times New Roman" w:cs="Times New Roman"/>
                <w:szCs w:val="21"/>
                <w:u w:val="single"/>
              </w:rPr>
              <w:t xml:space="preserve">  10  </w:t>
            </w:r>
            <w:r>
              <w:rPr>
                <w:rFonts w:ascii="Times New Roman" w:hAnsi="Times New Roman" w:cs="Times New Roman"/>
                <w:szCs w:val="21"/>
              </w:rPr>
              <w:t>分</w:t>
            </w:r>
          </w:p>
          <w:p>
            <w:pPr>
              <w:spacing w:line="360" w:lineRule="atLeast"/>
              <w:ind w:firstLine="420"/>
              <w:rPr>
                <w:rFonts w:ascii="Times New Roman" w:hAnsi="Times New Roman" w:cs="Times New Roman"/>
                <w:kern w:val="0"/>
                <w:szCs w:val="21"/>
              </w:rPr>
            </w:pPr>
            <w:r>
              <w:rPr>
                <w:rFonts w:ascii="Times New Roman" w:hAnsi="Times New Roman" w:cs="Times New Roman"/>
                <w:szCs w:val="21"/>
              </w:rPr>
              <w:t>评审价：</w:t>
            </w:r>
            <w:r>
              <w:rPr>
                <w:rFonts w:ascii="Times New Roman" w:hAnsi="Times New Roman" w:cs="Times New Roman"/>
                <w:szCs w:val="21"/>
                <w:u w:val="single"/>
              </w:rPr>
              <w:t xml:space="preserve">  70  </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tcBorders>
              <w:top w:val="single" w:color="auto" w:sz="4" w:space="0"/>
              <w:right w:val="single" w:color="auto" w:sz="4" w:space="0"/>
            </w:tcBorders>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419"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评审基准价计算方法</w:t>
            </w:r>
            <w:r>
              <w:rPr>
                <w:rFonts w:hint="eastAsia" w:ascii="Times New Roman" w:hAnsi="Times New Roman" w:cs="Times New Roman"/>
                <w:szCs w:val="21"/>
              </w:rPr>
              <w:t>A</w:t>
            </w:r>
          </w:p>
          <w:p>
            <w:pPr>
              <w:snapToGrid w:val="0"/>
              <w:jc w:val="left"/>
              <w:rPr>
                <w:rFonts w:ascii="Times New Roman" w:hAnsi="Times New Roman" w:cs="Times New Roman"/>
                <w:szCs w:val="21"/>
              </w:rPr>
            </w:pPr>
            <w:r>
              <w:rPr>
                <w:rFonts w:hint="eastAsia" w:ascii="Times New Roman" w:hAnsi="Times New Roman" w:cs="Times New Roman"/>
                <w:szCs w:val="21"/>
              </w:rPr>
              <w:t>（方法一、方法二、方法三）</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评审基准价的计算：</w:t>
            </w:r>
          </w:p>
          <w:p>
            <w:pPr>
              <w:spacing w:line="360" w:lineRule="atLeast"/>
              <w:ind w:firstLine="420"/>
              <w:rPr>
                <w:rFonts w:ascii="Times New Roman" w:hAnsi="Times New Roman" w:cs="Times New Roman"/>
                <w:szCs w:val="21"/>
              </w:rPr>
            </w:pPr>
            <w:r>
              <w:rPr>
                <w:rFonts w:ascii="Times New Roman" w:hAnsi="Times New Roman" w:cs="Times New Roman"/>
                <w:szCs w:val="21"/>
              </w:rPr>
              <w:t>（1）评审价的确定：</w:t>
            </w:r>
          </w:p>
          <w:p>
            <w:pPr>
              <w:spacing w:line="360" w:lineRule="atLeast"/>
              <w:ind w:firstLine="420"/>
              <w:rPr>
                <w:rFonts w:ascii="Times New Roman" w:hAnsi="Times New Roman" w:cs="Times New Roman"/>
                <w:szCs w:val="21"/>
              </w:rPr>
            </w:pPr>
            <w:r>
              <w:rPr>
                <w:rFonts w:ascii="Times New Roman" w:hAnsi="Times New Roman" w:cs="Times New Roman"/>
                <w:szCs w:val="21"/>
              </w:rPr>
              <w:t>评审价＝</w:t>
            </w:r>
            <w:r>
              <w:rPr>
                <w:rFonts w:hint="eastAsia" w:ascii="Times New Roman" w:hAnsi="Times New Roman" w:cs="Times New Roman"/>
                <w:szCs w:val="21"/>
              </w:rPr>
              <w:t>修正后的报价（不含税）</w:t>
            </w:r>
          </w:p>
          <w:p>
            <w:pPr>
              <w:spacing w:line="360" w:lineRule="atLeast"/>
              <w:ind w:firstLine="420"/>
              <w:rPr>
                <w:rFonts w:ascii="Times New Roman" w:hAnsi="Times New Roman" w:cs="Times New Roman"/>
                <w:szCs w:val="21"/>
              </w:rPr>
            </w:pPr>
            <w:r>
              <w:rPr>
                <w:rFonts w:ascii="Times New Roman" w:hAnsi="Times New Roman" w:cs="Times New Roman"/>
                <w:szCs w:val="21"/>
              </w:rPr>
              <w:t>（2）评审价平均值的计算</w:t>
            </w:r>
            <w:r>
              <w:rPr>
                <w:rFonts w:hint="eastAsia" w:ascii="Times New Roman" w:hAnsi="Times New Roman" w:cs="Times New Roman"/>
                <w:szCs w:val="21"/>
              </w:rPr>
              <w:t>（不适用方法三）</w:t>
            </w:r>
            <w:r>
              <w:rPr>
                <w:rFonts w:ascii="Times New Roman" w:hAnsi="Times New Roman" w:cs="Times New Roman"/>
                <w:szCs w:val="21"/>
              </w:rPr>
              <w:t>：</w:t>
            </w:r>
          </w:p>
          <w:p>
            <w:pPr>
              <w:spacing w:line="360" w:lineRule="atLeast"/>
              <w:ind w:firstLine="420"/>
              <w:rPr>
                <w:rFonts w:ascii="Times New Roman" w:hAnsi="Times New Roman" w:cs="Times New Roman"/>
                <w:szCs w:val="21"/>
              </w:rPr>
            </w:pPr>
            <w:r>
              <w:rPr>
                <w:rFonts w:ascii="Times New Roman" w:hAnsi="Times New Roman" w:cs="Times New Roman"/>
                <w:szCs w:val="21"/>
              </w:rPr>
              <w:t>所有</w:t>
            </w:r>
            <w:r>
              <w:rPr>
                <w:rFonts w:hint="eastAsia" w:ascii="Times New Roman" w:hAnsi="Times New Roman" w:cs="Times New Roman"/>
                <w:szCs w:val="21"/>
              </w:rPr>
              <w:t>通过初步评审的</w:t>
            </w:r>
            <w:r>
              <w:rPr>
                <w:rFonts w:ascii="Times New Roman" w:hAnsi="Times New Roman" w:cs="Times New Roman"/>
                <w:szCs w:val="21"/>
              </w:rPr>
              <w:t>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cs="Times New Roman"/>
                <w:szCs w:val="21"/>
              </w:rPr>
            </w:pPr>
            <w:r>
              <w:rPr>
                <w:rFonts w:ascii="Times New Roman" w:hAnsi="Times New Roman" w:cs="Times New Roman"/>
                <w:szCs w:val="21"/>
              </w:rPr>
              <w:t>（3）评审基准价的确定 ：</w:t>
            </w:r>
          </w:p>
          <w:p>
            <w:pPr>
              <w:spacing w:line="360" w:lineRule="atLeast"/>
              <w:ind w:firstLine="420"/>
              <w:rPr>
                <w:rFonts w:ascii="Times New Roman" w:hAnsi="Times New Roman" w:cs="Times New Roman"/>
                <w:szCs w:val="21"/>
              </w:rPr>
            </w:pPr>
            <w:r>
              <w:rPr>
                <w:rFonts w:hint="eastAsia" w:ascii="Times New Roman" w:hAnsi="Times New Roman" w:cs="Times New Roman"/>
                <w:szCs w:val="21"/>
              </w:rPr>
              <w:sym w:font="Wingdings 2" w:char="F052"/>
            </w:r>
            <w:r>
              <w:rPr>
                <w:rFonts w:ascii="Times New Roman" w:hAnsi="Times New Roman" w:cs="Times New Roman"/>
                <w:szCs w:val="21"/>
              </w:rPr>
              <w:t>方法一：将评审价平均值直接作为评审基准价。</w:t>
            </w:r>
          </w:p>
          <w:p>
            <w:pPr>
              <w:spacing w:line="360" w:lineRule="atLeast"/>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方法二：将评审价平均值下浮__%，作为评审基准价。</w:t>
            </w:r>
          </w:p>
          <w:p>
            <w:pPr>
              <w:spacing w:line="360" w:lineRule="atLeast"/>
              <w:ind w:firstLine="420"/>
              <w:rPr>
                <w:rFonts w:ascii="Times New Roman" w:hAnsi="Times New Roman" w:cs="Times New Roman"/>
                <w:szCs w:val="21"/>
              </w:rPr>
            </w:pPr>
            <w:r>
              <w:rPr>
                <w:rFonts w:hint="eastAsia"/>
              </w:rPr>
              <w:t>□</w:t>
            </w:r>
            <w:r>
              <w:rPr>
                <w:rFonts w:ascii="Times New Roman" w:hAnsi="Times New Roman" w:cs="Times New Roman"/>
                <w:szCs w:val="21"/>
              </w:rPr>
              <w:t>方法三：</w:t>
            </w:r>
            <w:r>
              <w:rPr>
                <w:rFonts w:hint="eastAsia" w:ascii="Times New Roman" w:hAnsi="Times New Roman" w:cs="Times New Roman"/>
                <w:szCs w:val="21"/>
              </w:rPr>
              <w:t>将评审价中的最低值作为</w:t>
            </w:r>
            <w:r>
              <w:rPr>
                <w:rFonts w:ascii="Times New Roman" w:hAnsi="Times New Roman" w:cs="Times New Roman"/>
                <w:szCs w:val="21"/>
              </w:rPr>
              <w:t>评审基准价</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553" w:type="dxa"/>
            <w:tcBorders>
              <w:top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2.2.3</w:t>
            </w:r>
          </w:p>
        </w:tc>
        <w:tc>
          <w:tcPr>
            <w:tcW w:w="1419" w:type="dxa"/>
            <w:tcBorders>
              <w:top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偏差率=100% ×（供应商评审价－评审基准价）/评审基准价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偏差率保留</w:t>
            </w:r>
            <w:r>
              <w:rPr>
                <w:rFonts w:ascii="Times New Roman" w:hAnsi="Times New Roman" w:cs="Times New Roman"/>
                <w:szCs w:val="21"/>
                <w:u w:val="single"/>
              </w:rPr>
              <w:t xml:space="preserve">  2  </w:t>
            </w:r>
            <w:r>
              <w:rPr>
                <w:rFonts w:ascii="Times New Roman" w:hAnsi="Times New Roman" w:cs="Times New Roman"/>
                <w:szCs w:val="21"/>
              </w:rPr>
              <w:t>位小数</w:t>
            </w:r>
          </w:p>
        </w:tc>
      </w:tr>
    </w:tbl>
    <w:p>
      <w:pPr>
        <w:ind w:firstLine="428"/>
        <w:jc w:val="left"/>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pStyle w:val="2"/>
        <w:rPr>
          <w:rFonts w:ascii="Times New Roman" w:hAnsi="Times New Roman" w:cs="Times New Roman"/>
          <w:spacing w:val="4"/>
          <w:szCs w:val="21"/>
        </w:rPr>
      </w:pPr>
    </w:p>
    <w:p>
      <w:pPr>
        <w:ind w:firstLine="428"/>
        <w:jc w:val="right"/>
        <w:rPr>
          <w:rFonts w:ascii="Times New Roman" w:hAnsi="Times New Roman" w:cs="Times New Roman"/>
        </w:rPr>
      </w:pPr>
      <w:r>
        <w:rPr>
          <w:rFonts w:ascii="Times New Roman" w:hAnsi="Times New Roman" w:cs="Times New Roman"/>
          <w:spacing w:val="4"/>
          <w:szCs w:val="21"/>
        </w:rPr>
        <w:t>续上表</w:t>
      </w:r>
    </w:p>
    <w:tbl>
      <w:tblPr>
        <w:tblStyle w:val="2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2877"/>
        <w:gridCol w:w="75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33" w:type="dxa"/>
            <w:gridSpan w:val="5"/>
            <w:tcBorders>
              <w:top w:val="single" w:color="auto" w:sz="4" w:space="0"/>
            </w:tcBorders>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评分因素与权重分值</w:t>
            </w:r>
          </w:p>
        </w:tc>
        <w:tc>
          <w:tcPr>
            <w:tcW w:w="1771" w:type="dxa"/>
            <w:vMerge w:val="restart"/>
            <w:tcBorders>
              <w:top w:val="single" w:color="auto" w:sz="4" w:space="0"/>
            </w:tcBorders>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条款号</w:t>
            </w:r>
          </w:p>
        </w:tc>
        <w:tc>
          <w:tcPr>
            <w:tcW w:w="1635"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评分因素</w:t>
            </w:r>
          </w:p>
        </w:tc>
        <w:tc>
          <w:tcPr>
            <w:tcW w:w="1005" w:type="dxa"/>
            <w:vAlign w:val="center"/>
          </w:tcPr>
          <w:p>
            <w:pPr>
              <w:spacing w:line="380" w:lineRule="atLeast"/>
              <w:ind w:left="-105" w:leftChars="-50" w:right="-105" w:rightChars="-50" w:firstLine="422"/>
              <w:jc w:val="center"/>
              <w:rPr>
                <w:rFonts w:ascii="Times New Roman" w:hAnsi="Times New Roman" w:cs="Times New Roman"/>
                <w:b/>
                <w:szCs w:val="21"/>
              </w:rPr>
            </w:pPr>
            <w:r>
              <w:rPr>
                <w:rFonts w:ascii="Times New Roman" w:hAnsi="Times New Roman" w:cs="Times New Roman"/>
                <w:b/>
                <w:szCs w:val="21"/>
              </w:rPr>
              <w:t>评分因素权重分值</w:t>
            </w:r>
          </w:p>
        </w:tc>
        <w:tc>
          <w:tcPr>
            <w:tcW w:w="2877"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各评分因素细分项</w:t>
            </w:r>
          </w:p>
        </w:tc>
        <w:tc>
          <w:tcPr>
            <w:tcW w:w="756" w:type="dxa"/>
            <w:vAlign w:val="center"/>
          </w:tcPr>
          <w:p>
            <w:pPr>
              <w:spacing w:line="380" w:lineRule="atLeast"/>
              <w:ind w:right="844"/>
              <w:rPr>
                <w:rFonts w:ascii="Times New Roman" w:hAnsi="Times New Roman" w:cs="Times New Roman"/>
                <w:b/>
                <w:szCs w:val="21"/>
              </w:rPr>
            </w:pPr>
            <w:r>
              <w:rPr>
                <w:rFonts w:ascii="Times New Roman" w:hAnsi="Times New Roman" w:cs="Times New Roman"/>
                <w:b/>
                <w:szCs w:val="21"/>
              </w:rPr>
              <w:t>分值</w:t>
            </w:r>
          </w:p>
        </w:tc>
        <w:tc>
          <w:tcPr>
            <w:tcW w:w="1771" w:type="dxa"/>
            <w:vMerge w:val="continue"/>
          </w:tcPr>
          <w:p>
            <w:pPr>
              <w:spacing w:line="380" w:lineRule="atLeast"/>
              <w:ind w:firstLine="422"/>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（1）</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业绩</w:t>
            </w:r>
          </w:p>
        </w:tc>
        <w:tc>
          <w:tcPr>
            <w:tcW w:w="1005" w:type="dxa"/>
            <w:vAlign w:val="center"/>
          </w:tcPr>
          <w:p>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20 </w:t>
            </w:r>
            <w:r>
              <w:rPr>
                <w:rFonts w:ascii="Times New Roman" w:hAnsi="Times New Roman" w:cs="Times New Roman"/>
                <w:szCs w:val="21"/>
              </w:rPr>
              <w:t>分</w:t>
            </w:r>
          </w:p>
        </w:tc>
        <w:tc>
          <w:tcPr>
            <w:tcW w:w="5404" w:type="dxa"/>
            <w:gridSpan w:val="3"/>
          </w:tcPr>
          <w:p>
            <w:pPr>
              <w:spacing w:line="380" w:lineRule="atLeast"/>
              <w:rPr>
                <w:rFonts w:ascii="Times New Roman" w:hAnsi="Times New Roman" w:cs="Times New Roman"/>
                <w:szCs w:val="21"/>
              </w:rPr>
            </w:pPr>
            <w:r>
              <w:rPr>
                <w:rFonts w:hint="eastAsia" w:ascii="Times New Roman" w:hAnsi="Times New Roman" w:cs="Times New Roman"/>
                <w:szCs w:val="21"/>
              </w:rPr>
              <w:t>响应人每有一个近3年内的类似业绩得5分，满分20分。备注：1.近3年及类似业绩定义同资格条件。2.一个项目分多个合同签订的只计一个业绩。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施工组织设计</w:t>
            </w:r>
          </w:p>
        </w:tc>
        <w:tc>
          <w:tcPr>
            <w:tcW w:w="1005" w:type="dxa"/>
            <w:vAlign w:val="center"/>
          </w:tcPr>
          <w:p>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10 </w:t>
            </w:r>
            <w:r>
              <w:rPr>
                <w:rFonts w:ascii="Times New Roman" w:hAnsi="Times New Roman" w:cs="Times New Roman"/>
                <w:szCs w:val="21"/>
              </w:rPr>
              <w:t>分</w:t>
            </w:r>
          </w:p>
        </w:tc>
        <w:tc>
          <w:tcPr>
            <w:tcW w:w="5404" w:type="dxa"/>
            <w:gridSpan w:val="3"/>
          </w:tcPr>
          <w:p>
            <w:pPr>
              <w:spacing w:line="380" w:lineRule="atLeast"/>
              <w:rPr>
                <w:rFonts w:ascii="Times New Roman" w:hAnsi="Times New Roman" w:cs="Times New Roman"/>
                <w:szCs w:val="21"/>
              </w:rPr>
            </w:pPr>
            <w:r>
              <w:rPr>
                <w:rFonts w:hint="eastAsia" w:ascii="Times New Roman" w:hAnsi="Times New Roman" w:cs="Times New Roman"/>
                <w:szCs w:val="21"/>
              </w:rPr>
              <w:t>基本分6分，</w:t>
            </w:r>
            <w:r>
              <w:rPr>
                <w:rFonts w:hint="eastAsia" w:ascii="Times New Roman" w:hAnsi="Times New Roman" w:cs="Times New Roman"/>
                <w:szCs w:val="21"/>
                <w:u w:val="single"/>
              </w:rPr>
              <w:t>响应人提供</w:t>
            </w:r>
            <w:r>
              <w:rPr>
                <w:rFonts w:hint="eastAsia" w:ascii="Times New Roman" w:hAnsi="Times New Roman" w:cs="Times New Roman"/>
                <w:szCs w:val="21"/>
              </w:rPr>
              <w:t>齐全完整的</w:t>
            </w:r>
            <w:r>
              <w:rPr>
                <w:rFonts w:hint="eastAsia" w:ascii="Times New Roman" w:hAnsi="Times New Roman" w:cs="Times New Roman"/>
                <w:szCs w:val="21"/>
                <w:u w:val="single"/>
              </w:rPr>
              <w:t>施工组织设计方案</w:t>
            </w:r>
            <w:r>
              <w:rPr>
                <w:rFonts w:hint="eastAsia" w:ascii="Times New Roman" w:hAnsi="Times New Roman" w:cs="Times New Roman"/>
                <w:szCs w:val="21"/>
              </w:rPr>
              <w:t>得基本分。</w:t>
            </w:r>
          </w:p>
          <w:p>
            <w:pPr>
              <w:spacing w:line="380" w:lineRule="atLeast"/>
              <w:rPr>
                <w:rFonts w:ascii="Times New Roman" w:hAnsi="Times New Roman" w:cs="Times New Roman"/>
                <w:szCs w:val="21"/>
              </w:rPr>
            </w:pPr>
            <w:r>
              <w:rPr>
                <w:rFonts w:hint="eastAsia" w:ascii="Times New Roman" w:hAnsi="Times New Roman" w:cs="Times New Roman"/>
                <w:szCs w:val="21"/>
              </w:rPr>
              <w:t>综合比较其人员设备投入、施工技术方案、质量、进度、安全管理、工期保证、施工重难点等方面加0~4分。</w:t>
            </w:r>
          </w:p>
          <w:p>
            <w:pPr>
              <w:spacing w:line="380" w:lineRule="atLeast"/>
              <w:rPr>
                <w:rFonts w:ascii="Times New Roman" w:hAnsi="Times New Roman" w:cs="Times New Roman"/>
                <w:szCs w:val="21"/>
              </w:rPr>
            </w:pPr>
            <w:r>
              <w:rPr>
                <w:rFonts w:hint="eastAsia" w:ascii="Times New Roman" w:hAnsi="Times New Roman" w:cs="Times New Roman"/>
                <w:szCs w:val="21"/>
              </w:rPr>
              <w:t>未提供的或不满足采购文件基本要求的不得分。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p>
        </w:tc>
        <w:tc>
          <w:tcPr>
            <w:tcW w:w="1635"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评审价</w:t>
            </w:r>
          </w:p>
          <w:p>
            <w:pPr>
              <w:spacing w:line="380" w:lineRule="atLeast"/>
              <w:jc w:val="center"/>
              <w:rPr>
                <w:rFonts w:ascii="Times New Roman" w:hAnsi="Times New Roman" w:cs="Times New Roman"/>
                <w:szCs w:val="21"/>
              </w:rPr>
            </w:pPr>
            <w:r>
              <w:rPr>
                <w:rFonts w:hint="eastAsia" w:ascii="Times New Roman" w:hAnsi="Times New Roman" w:cs="Times New Roman"/>
                <w:szCs w:val="21"/>
              </w:rPr>
              <w:t>（方法一、方法二）</w:t>
            </w:r>
          </w:p>
        </w:tc>
        <w:tc>
          <w:tcPr>
            <w:tcW w:w="1005" w:type="dxa"/>
            <w:vAlign w:val="center"/>
          </w:tcPr>
          <w:p>
            <w:pPr>
              <w:spacing w:line="380" w:lineRule="atLeast"/>
              <w:jc w:val="right"/>
              <w:rPr>
                <w:rFonts w:ascii="Times New Roman" w:hAnsi="Times New Roman" w:cs="Times New Roman"/>
                <w:szCs w:val="21"/>
              </w:rPr>
            </w:pPr>
            <w:r>
              <w:rPr>
                <w:rFonts w:ascii="Times New Roman" w:hAnsi="Times New Roman" w:cs="Times New Roman"/>
                <w:szCs w:val="21"/>
                <w:u w:val="single"/>
              </w:rPr>
              <w:t xml:space="preserve"> 70 </w:t>
            </w:r>
            <w:r>
              <w:rPr>
                <w:rFonts w:ascii="Times New Roman" w:hAnsi="Times New Roman" w:cs="Times New Roman"/>
                <w:szCs w:val="21"/>
              </w:rPr>
              <w:t>分</w:t>
            </w:r>
          </w:p>
        </w:tc>
        <w:tc>
          <w:tcPr>
            <w:tcW w:w="5404" w:type="dxa"/>
            <w:gridSpan w:val="3"/>
            <w:shd w:val="clear" w:color="auto" w:fill="auto"/>
          </w:tcPr>
          <w:p>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pPr>
              <w:spacing w:line="380" w:lineRule="atLeast"/>
              <w:rPr>
                <w:rFonts w:ascii="Times New Roman" w:hAnsi="Times New Roman" w:cs="Times New Roman"/>
                <w:szCs w:val="21"/>
                <w:u w:val="single"/>
              </w:rPr>
            </w:pPr>
            <w:r>
              <w:rPr>
                <w:rFonts w:ascii="Times New Roman" w:hAnsi="Times New Roman" w:cs="Times New Roman"/>
                <w:szCs w:val="21"/>
              </w:rPr>
              <w:t>（1）如果供应商的评审价&gt;评审基准价，则评审价得分＝F－偏差率×100× 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1</w:t>
            </w:r>
            <w:r>
              <w:rPr>
                <w:rFonts w:hint="eastAsia" w:ascii="Times New Roman" w:hAnsi="Times New Roman" w:cs="Times New Roman"/>
                <w:szCs w:val="21"/>
                <w:vertAlign w:val="subscript"/>
              </w:rPr>
              <w:t>=</w:t>
            </w:r>
            <w:r>
              <w:rPr>
                <w:rFonts w:ascii="Times New Roman" w:hAnsi="Times New Roman" w:cs="Times New Roman"/>
                <w:szCs w:val="21"/>
                <w:u w:val="single"/>
                <w:vertAlign w:val="subscript"/>
              </w:rPr>
              <w:t xml:space="preserve"> </w:t>
            </w:r>
            <w:r>
              <w:rPr>
                <w:rFonts w:ascii="Times New Roman" w:hAnsi="Times New Roman" w:cs="Times New Roman"/>
                <w:szCs w:val="21"/>
                <w:u w:val="single"/>
              </w:rPr>
              <w:t xml:space="preserve"> 1 </w:t>
            </w:r>
            <w:r>
              <w:rPr>
                <w:rFonts w:hint="eastAsia" w:ascii="Times New Roman" w:hAnsi="Times New Roman" w:cs="Times New Roman"/>
                <w:szCs w:val="21"/>
                <w:u w:val="single"/>
                <w:vertAlign w:val="subscript"/>
              </w:rPr>
              <w:t xml:space="preserve"> </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（2）如果供应商的评审价≤评审基准价，则评审价得分＝F＋偏差率× 100× E</w:t>
            </w:r>
            <w:r>
              <w:rPr>
                <w:rFonts w:ascii="Times New Roman" w:hAnsi="Times New Roman" w:cs="Times New Roman"/>
                <w:szCs w:val="21"/>
                <w:vertAlign w:val="subscript"/>
              </w:rPr>
              <w:t>2</w:t>
            </w:r>
            <w:r>
              <w:rPr>
                <w:rFonts w:ascii="Times New Roman" w:hAnsi="Times New Roman" w:cs="Times New Roman"/>
                <w:szCs w:val="21"/>
              </w:rPr>
              <w:t>。E</w:t>
            </w:r>
            <w:r>
              <w:rPr>
                <w:rFonts w:ascii="Times New Roman" w:hAnsi="Times New Roman" w:cs="Times New Roman"/>
                <w:szCs w:val="21"/>
                <w:vertAlign w:val="subscript"/>
              </w:rPr>
              <w:t>2</w:t>
            </w:r>
            <w:r>
              <w:rPr>
                <w:rFonts w:hint="eastAsia" w:ascii="Times New Roman" w:hAnsi="Times New Roman" w:cs="Times New Roman"/>
                <w:szCs w:val="21"/>
                <w:vertAlign w:val="subscript"/>
              </w:rPr>
              <w:t>=</w:t>
            </w:r>
            <w:r>
              <w:rPr>
                <w:rFonts w:ascii="Times New Roman" w:hAnsi="Times New Roman" w:cs="Times New Roman"/>
                <w:szCs w:val="21"/>
                <w:u w:val="single"/>
                <w:vertAlign w:val="subscript"/>
              </w:rPr>
              <w:t xml:space="preserve"> </w:t>
            </w:r>
            <w:r>
              <w:rPr>
                <w:rFonts w:ascii="Times New Roman" w:hAnsi="Times New Roman" w:cs="Times New Roman"/>
                <w:szCs w:val="21"/>
                <w:u w:val="single"/>
              </w:rPr>
              <w:t>0.5</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其中：F是评审价所占的权重分值，E</w:t>
            </w:r>
            <w:r>
              <w:rPr>
                <w:rFonts w:ascii="Times New Roman" w:hAnsi="Times New Roman" w:cs="Times New Roman"/>
                <w:szCs w:val="21"/>
                <w:vertAlign w:val="subscript"/>
              </w:rPr>
              <w:t>1</w:t>
            </w:r>
            <w:r>
              <w:rPr>
                <w:rFonts w:ascii="Times New Roman" w:hAnsi="Times New Roman" w:cs="Times New Roman"/>
                <w:szCs w:val="21"/>
              </w:rPr>
              <w:t>是评审价每高于评审基准价一个百分点的扣分值，E</w:t>
            </w:r>
            <w:r>
              <w:rPr>
                <w:rFonts w:ascii="Times New Roman" w:hAnsi="Times New Roman" w:cs="Times New Roman"/>
                <w:szCs w:val="21"/>
                <w:vertAlign w:val="subscript"/>
              </w:rPr>
              <w:t>2</w:t>
            </w:r>
            <w:r>
              <w:rPr>
                <w:rFonts w:ascii="Times New Roman" w:hAnsi="Times New Roman" w:cs="Times New Roman"/>
                <w:szCs w:val="21"/>
              </w:rPr>
              <w:t>是评审价每低于评审基准价一个百分点的扣分值；采购人可依据询比项目具体特点和实际需要设置E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，但E</w:t>
            </w:r>
            <w:r>
              <w:rPr>
                <w:rFonts w:ascii="Times New Roman" w:hAnsi="Times New Roman" w:cs="Times New Roman"/>
                <w:szCs w:val="21"/>
                <w:vertAlign w:val="subscript"/>
              </w:rPr>
              <w:t>1</w:t>
            </w:r>
            <w:r>
              <w:rPr>
                <w:rFonts w:ascii="Times New Roman" w:hAnsi="Times New Roman" w:cs="Times New Roman"/>
                <w:szCs w:val="21"/>
              </w:rPr>
              <w:t>应大于E</w:t>
            </w:r>
            <w:r>
              <w:rPr>
                <w:rFonts w:ascii="Times New Roman" w:hAnsi="Times New Roman" w:cs="Times New Roman"/>
                <w:szCs w:val="21"/>
                <w:vertAlign w:val="subscript"/>
              </w:rPr>
              <w:t>2</w:t>
            </w:r>
            <w:r>
              <w:rPr>
                <w:rFonts w:hint="eastAsia" w:ascii="Times New Roman" w:hAnsi="Times New Roman"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hint="eastAsia" w:ascii="Times New Roman" w:hAnsi="Times New Roman" w:cs="Times New Roman"/>
                <w:szCs w:val="21"/>
              </w:rPr>
              <w:t>评审方式：报价按不含税进行评审，评审价选择方法一</w:t>
            </w:r>
          </w:p>
        </w:tc>
      </w:tr>
    </w:tbl>
    <w:p>
      <w:pPr>
        <w:keepNext/>
        <w:keepLines/>
        <w:spacing w:before="156" w:beforeLines="50" w:after="156" w:afterLines="50"/>
        <w:ind w:firstLine="58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对满足询比文件实质性要求的响应文件按照本章第2.2款规定的评分标准进行打分，按照得分由高到低依次推荐成交候选人。如得分相同的，按照评审办法前附表中的规定确定成交候选人顺序。</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施工组织设计</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施工组织设计</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w:t>
      </w:r>
      <w:r>
        <w:rPr>
          <w:rFonts w:hint="eastAsia" w:ascii="Times New Roman" w:hAnsi="Times New Roman" w:cs="Times New Roman"/>
        </w:rPr>
        <w:t>下</w:t>
      </w:r>
      <w:r>
        <w:rPr>
          <w:rFonts w:ascii="Times New Roman" w:hAnsi="Times New Roman" w:cs="Times New Roman"/>
        </w:rPr>
        <w:t>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hint="eastAsia" w:ascii="宋体" w:hAnsi="宋体" w:eastAsia="宋体" w:cs="宋体"/>
        </w:rPr>
        <w:t>①</w:t>
      </w:r>
      <w:r>
        <w:rPr>
          <w:rFonts w:ascii="Times New Roman" w:hAnsi="Times New Roman" w:cs="Times New Roman"/>
        </w:rPr>
        <w:t>响应文件中的大写金额与小写金额不一致的，以大写金额为准；</w:t>
      </w:r>
    </w:p>
    <w:p>
      <w:pPr>
        <w:spacing w:line="440" w:lineRule="exact"/>
        <w:ind w:firstLine="420"/>
        <w:rPr>
          <w:rFonts w:ascii="Times New Roman" w:hAnsi="Times New Roman" w:cs="Times New Roman"/>
        </w:rPr>
      </w:pPr>
      <w:r>
        <w:rPr>
          <w:rFonts w:hint="eastAsia" w:ascii="宋体" w:hAnsi="宋体" w:eastAsia="宋体" w:cs="宋体"/>
        </w:rPr>
        <w:t>②</w:t>
      </w:r>
      <w:r>
        <w:rPr>
          <w:rFonts w:ascii="Times New Roman" w:hAnsi="Times New Roman" w:cs="Times New Roman"/>
        </w:rPr>
        <w:t>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hint="eastAsia" w:ascii="宋体" w:hAnsi="宋体" w:eastAsia="宋体" w:cs="宋体"/>
        </w:rPr>
        <w:t>③</w:t>
      </w:r>
      <w:r>
        <w:rPr>
          <w:rFonts w:ascii="Times New Roman" w:hAnsi="Times New Roman" w:cs="Times New Roman"/>
        </w:rPr>
        <w:t>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hint="eastAsia" w:ascii="宋体" w:hAnsi="宋体" w:eastAsia="宋体" w:cs="宋体"/>
        </w:rPr>
        <w:t>④</w:t>
      </w:r>
      <w:r>
        <w:rPr>
          <w:rFonts w:ascii="Times New Roman" w:hAnsi="Times New Roman" w:cs="Times New Roman"/>
        </w:rPr>
        <w:t>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工程量清单中的报价有其他错误的，评审小组按以下原则对报价进行修正，修正的价格经供应商书面确认后具有约束力。供应商不接受修正价格的，评审小组应否决其报价。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hint="eastAsia" w:ascii="宋体" w:hAnsi="宋体" w:eastAsia="宋体" w:cs="宋体"/>
        </w:rPr>
        <w:t>①</w:t>
      </w:r>
      <w:r>
        <w:rPr>
          <w:rFonts w:ascii="Times New Roman" w:hAnsi="Times New Roman" w:cs="Times New Roman"/>
        </w:rPr>
        <w:t>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②</w:t>
      </w:r>
      <w:r>
        <w:rPr>
          <w:rFonts w:ascii="Times New Roman" w:hAnsi="Times New Roman" w:cs="Times New Roman"/>
        </w:rPr>
        <w:t>在采购人给定的工程量清单中多报了某个工程子目的单价、合价或总额价，或所报单价、合价或总额价增加了报价范围，则从报价中扣除多报的工程子目报价或工程子目报价中增加了报价范围的部分报价</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③</w:t>
      </w:r>
      <w:r>
        <w:rPr>
          <w:rFonts w:ascii="Times New Roman" w:hAnsi="Times New Roman" w:cs="Times New Roman"/>
        </w:rPr>
        <w:t>当单价与数量的乘积与合价（金额）虽然一致，但供应商修改了该子目的工程数量，则其合价按采购人给定的工程数量乘以供应商所报单价予以修正</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④</w:t>
      </w:r>
      <w:r>
        <w:rPr>
          <w:rFonts w:ascii="Times New Roman" w:hAnsi="Times New Roman" w:cs="Times New Roman"/>
        </w:rPr>
        <w:t>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ind w:firstLine="48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cs="Times New Roman"/>
        </w:rPr>
      </w:pPr>
      <w:r>
        <w:rPr>
          <w:rFonts w:ascii="Times New Roman" w:hAnsi="Times New Roman" w:cs="Times New Roman"/>
        </w:rPr>
        <w:t xml:space="preserve">3.2.1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rPr>
        <w:t>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rPr>
        <w:t>施工组织设计</w:t>
      </w:r>
      <w:r>
        <w:rPr>
          <w:rFonts w:ascii="Times New Roman" w:hAnsi="Times New Roman" w:cs="Times New Roman"/>
        </w:rPr>
        <w:t>计算出得分</w:t>
      </w:r>
      <w:r>
        <w:rPr>
          <w:rFonts w:hint="eastAsia" w:ascii="Times New Roman" w:hAnsi="Times New Roman" w:cs="Times New Roman"/>
        </w:rPr>
        <w:t>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（3）按本章第2.2.4(3)目规定的评审因素和分值对</w:t>
      </w:r>
      <w:r>
        <w:rPr>
          <w:rFonts w:hint="eastAsia" w:ascii="Times New Roman" w:hAnsi="Times New Roman" w:cs="Times New Roman"/>
        </w:rPr>
        <w:t>评审价</w:t>
      </w:r>
      <w:r>
        <w:rPr>
          <w:rFonts w:ascii="Times New Roman" w:hAnsi="Times New Roman" w:cs="Times New Roman"/>
        </w:rPr>
        <w:t>计算出得分</w:t>
      </w:r>
      <w:r>
        <w:rPr>
          <w:rFonts w:hint="eastAsia" w:ascii="Times New Roman" w:hAnsi="Times New Roman" w:cs="Times New Roman"/>
        </w:rPr>
        <w:t>III</w:t>
      </w:r>
      <w:r>
        <w:rPr>
          <w:rFonts w:ascii="Times New Roman" w:hAnsi="Times New Roman" w:cs="Times New Roman"/>
        </w:rPr>
        <w:t>；</w:t>
      </w:r>
    </w:p>
    <w:p>
      <w:pPr>
        <w:spacing w:line="400" w:lineRule="exact"/>
        <w:ind w:firstLine="420" w:firstLineChars="200"/>
        <w:rPr>
          <w:rFonts w:ascii="Times New Roman" w:hAnsi="Times New Roman" w:cs="Times New Roman"/>
        </w:rPr>
      </w:pPr>
      <w:r>
        <w:rPr>
          <w:rFonts w:ascii="Times New Roman" w:hAnsi="Times New Roman" w:cs="Times New Roman"/>
        </w:rPr>
        <w:t>3.2.2 评分分值计算保留小数点后两位，小数点后第三位“四舍五入”。</w:t>
      </w:r>
    </w:p>
    <w:p>
      <w:pPr>
        <w:spacing w:line="400" w:lineRule="exact"/>
        <w:ind w:firstLine="420" w:firstLineChars="200"/>
        <w:rPr>
          <w:rFonts w:ascii="Times New Roman" w:hAnsi="Times New Roman" w:cs="Times New Roman"/>
        </w:rPr>
      </w:pPr>
      <w:r>
        <w:rPr>
          <w:rFonts w:ascii="Times New Roman" w:hAnsi="Times New Roman" w:cs="Times New Roman"/>
        </w:rPr>
        <w:t xml:space="preserve">3.2.3 </w:t>
      </w:r>
      <w:r>
        <w:rPr>
          <w:rFonts w:hint="eastAsia" w:ascii="Times New Roman" w:hAnsi="Times New Roman" w:cs="Times New Roman"/>
        </w:rPr>
        <w:t>评审小组成员对</w:t>
      </w:r>
      <w:r>
        <w:rPr>
          <w:rFonts w:ascii="Times New Roman" w:hAnsi="Times New Roman" w:cs="Times New Roman"/>
        </w:rPr>
        <w:t>供应商</w:t>
      </w:r>
      <w:r>
        <w:rPr>
          <w:rFonts w:hint="eastAsia" w:ascii="Times New Roman" w:hAnsi="Times New Roman" w:cs="Times New Roman"/>
        </w:rPr>
        <w:t>综合评分=I</w:t>
      </w:r>
      <w:r>
        <w:rPr>
          <w:rFonts w:ascii="Times New Roman" w:hAnsi="Times New Roman" w:cs="Times New Roman"/>
        </w:rPr>
        <w:t>+</w:t>
      </w:r>
      <w:r>
        <w:rPr>
          <w:rFonts w:hint="eastAsia" w:ascii="Times New Roman" w:hAnsi="Times New Roman" w:cs="Times New Roman"/>
        </w:rPr>
        <w:t>II</w:t>
      </w:r>
      <w:r>
        <w:rPr>
          <w:rFonts w:ascii="Times New Roman" w:hAnsi="Times New Roman" w:cs="Times New Roman"/>
        </w:rPr>
        <w:t>+</w:t>
      </w:r>
      <w:r>
        <w:rPr>
          <w:rFonts w:hint="eastAsia" w:ascii="Times New Roman" w:hAnsi="Times New Roman" w:cs="Times New Roman"/>
        </w:rPr>
        <w:t>III，供应商最终得分为各评审小组成员评分的算数平均值</w:t>
      </w:r>
      <w:r>
        <w:rPr>
          <w:rFonts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pStyle w:val="2"/>
      </w:pPr>
    </w:p>
    <w:p>
      <w:pPr>
        <w:pStyle w:val="2"/>
      </w:pPr>
    </w:p>
    <w:p>
      <w:pPr>
        <w:pStyle w:val="2"/>
      </w:pPr>
    </w:p>
    <w:p>
      <w:pPr>
        <w:pStyle w:val="2"/>
      </w:pP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60"/>
    </w:p>
    <w:p>
      <w:pPr>
        <w:spacing w:before="120" w:line="440" w:lineRule="exact"/>
        <w:jc w:val="center"/>
        <w:rPr>
          <w:rFonts w:ascii="Times New Roman" w:hAnsi="Times New Roman" w:cs="Times New Roman"/>
          <w:sz w:val="22"/>
        </w:rPr>
      </w:pPr>
      <w:bookmarkStart w:id="61" w:name="_Toc11316"/>
      <w:bookmarkStart w:id="62" w:name="_Toc14663"/>
      <w:bookmarkStart w:id="63" w:name="_Toc144974827"/>
      <w:bookmarkStart w:id="64" w:name="_Toc6271_WPSOffice_Level2"/>
      <w:bookmarkStart w:id="65" w:name="_Toc179632786"/>
      <w:bookmarkStart w:id="66" w:name="_Toc21281"/>
      <w:bookmarkStart w:id="67" w:name="_Toc152042547"/>
      <w:bookmarkStart w:id="68" w:name="_Toc152045768"/>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p>
      <w:pPr>
        <w:pStyle w:val="2"/>
        <w:rPr>
          <w:rFonts w:ascii="Times New Roman" w:hAnsi="Times New Roman" w:cs="Times New Roman"/>
          <w:sz w:val="22"/>
        </w:rPr>
      </w:pPr>
    </w:p>
    <w:bookmarkEnd w:id="61"/>
    <w:bookmarkEnd w:id="62"/>
    <w:bookmarkEnd w:id="63"/>
    <w:bookmarkEnd w:id="64"/>
    <w:bookmarkEnd w:id="65"/>
    <w:bookmarkEnd w:id="66"/>
    <w:bookmarkEnd w:id="67"/>
    <w:bookmarkEnd w:id="68"/>
    <w:p>
      <w:pPr>
        <w:pStyle w:val="2"/>
        <w:rPr>
          <w:rFonts w:ascii="Times New Roman" w:hAnsi="Times New Roman" w:cs="Times New Roman"/>
          <w:sz w:val="22"/>
        </w:rPr>
      </w:pPr>
    </w:p>
    <w:p>
      <w:pPr>
        <w:ind w:right="1684"/>
        <w:jc w:val="right"/>
        <w:rPr>
          <w:rFonts w:ascii="Times New Roman" w:hAnsi="Times New Roman" w:cs="Times New Roman" w:eastAsiaTheme="majorEastAsia"/>
          <w:b/>
          <w:bCs/>
          <w:sz w:val="24"/>
        </w:rPr>
      </w:pPr>
      <w:r>
        <w:rPr>
          <w:rFonts w:ascii="Times New Roman" w:hAnsi="Times New Roman"/>
          <w:b/>
          <w:bCs/>
          <w:sz w:val="24"/>
        </w:rPr>
        <w:t>合同编号：</w:t>
      </w:r>
    </w:p>
    <w:p>
      <w:pPr>
        <w:spacing w:line="460" w:lineRule="exact"/>
        <w:ind w:firstLine="1040" w:firstLineChars="200"/>
        <w:jc w:val="center"/>
        <w:rPr>
          <w:rFonts w:ascii="宋体" w:hAnsi="宋体" w:eastAsia="宋体"/>
          <w:b/>
          <w:sz w:val="52"/>
          <w:szCs w:val="52"/>
        </w:rPr>
      </w:pPr>
    </w:p>
    <w:p>
      <w:pPr>
        <w:spacing w:line="480" w:lineRule="auto"/>
        <w:jc w:val="center"/>
        <w:rPr>
          <w:rFonts w:ascii="宋体" w:hAnsi="宋体" w:eastAsia="宋体"/>
          <w:b/>
          <w:sz w:val="48"/>
          <w:szCs w:val="48"/>
        </w:rPr>
      </w:pPr>
    </w:p>
    <w:p>
      <w:pPr>
        <w:spacing w:line="480" w:lineRule="auto"/>
        <w:jc w:val="center"/>
        <w:rPr>
          <w:rFonts w:ascii="宋体" w:hAnsi="宋体" w:eastAsia="宋体"/>
          <w:b/>
          <w:sz w:val="52"/>
          <w:szCs w:val="52"/>
        </w:rPr>
      </w:pPr>
      <w:r>
        <w:rPr>
          <w:rFonts w:hint="eastAsia" w:ascii="宋体" w:hAnsi="宋体" w:eastAsia="宋体"/>
          <w:b/>
          <w:sz w:val="48"/>
          <w:szCs w:val="48"/>
        </w:rPr>
        <w:t>青浦区华新镇华志路北侧23-01地块项目交通标识工程合同</w:t>
      </w: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ind w:firstLine="2206" w:firstLineChars="788"/>
        <w:rPr>
          <w:rFonts w:ascii="Times New Roman" w:hAnsi="Times New Roman" w:cs="Times New Roman" w:eastAsiaTheme="majorEastAsia"/>
          <w:b/>
          <w:sz w:val="28"/>
          <w:szCs w:val="28"/>
          <w:u w:val="single"/>
        </w:rPr>
      </w:pPr>
      <w:r>
        <w:rPr>
          <w:rFonts w:ascii="Times New Roman" w:hAnsi="Times New Roman" w:cs="Times New Roman" w:eastAsiaTheme="majorEastAsia"/>
          <w:b/>
          <w:sz w:val="28"/>
          <w:szCs w:val="28"/>
        </w:rPr>
        <w:t>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程</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地</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点</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w:t>
      </w:r>
      <w:r>
        <w:rPr>
          <w:rFonts w:ascii="Times New Roman" w:hAnsi="Times New Roman" w:cs="Times New Roman" w:eastAsiaTheme="majorEastAsia"/>
          <w:b/>
          <w:sz w:val="28"/>
          <w:szCs w:val="28"/>
          <w:u w:val="single"/>
        </w:rPr>
        <w:t xml:space="preserve">      </w:t>
      </w:r>
      <w:r>
        <w:rPr>
          <w:rFonts w:hint="eastAsia" w:ascii="Times New Roman" w:hAnsi="Times New Roman" w:cs="Times New Roman" w:eastAsiaTheme="majorEastAsia"/>
          <w:b/>
          <w:sz w:val="28"/>
          <w:szCs w:val="28"/>
          <w:u w:val="single"/>
        </w:rPr>
        <w:t xml:space="preserve">上海市青浦区       </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甲方(</w:t>
      </w:r>
      <w:r>
        <w:rPr>
          <w:rFonts w:ascii="Times New Roman" w:hAnsi="Times New Roman" w:cs="Times New Roman" w:eastAsiaTheme="majorEastAsia"/>
          <w:b/>
          <w:sz w:val="28"/>
          <w:szCs w:val="28"/>
        </w:rPr>
        <w:t>发包人)：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乙方(</w:t>
      </w:r>
      <w:r>
        <w:rPr>
          <w:rFonts w:ascii="Times New Roman" w:hAnsi="Times New Roman" w:cs="Times New Roman" w:eastAsiaTheme="majorEastAsia"/>
          <w:b/>
          <w:sz w:val="28"/>
          <w:szCs w:val="28"/>
        </w:rPr>
        <w:t>承包人)：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签</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订</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期</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u w:val="single"/>
        </w:rPr>
        <w:t xml:space="preserve">                                           </w:t>
      </w: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p>
    <w:p>
      <w:pPr>
        <w:spacing w:before="120" w:line="440" w:lineRule="exact"/>
        <w:jc w:val="center"/>
        <w:rPr>
          <w:rFonts w:ascii="Times New Roman" w:hAnsi="Times New Roman" w:cs="Times New Roman"/>
          <w:b/>
          <w:kern w:val="44"/>
          <w:sz w:val="32"/>
          <w:szCs w:val="32"/>
          <w:u w:val="single"/>
        </w:rPr>
      </w:pPr>
      <w:r>
        <w:rPr>
          <w:rFonts w:ascii="Times New Roman" w:hAnsi="Times New Roman" w:cs="Times New Roman"/>
          <w:b/>
          <w:kern w:val="44"/>
          <w:sz w:val="32"/>
          <w:szCs w:val="32"/>
          <w:u w:val="single"/>
        </w:rPr>
        <w:t xml:space="preserve"> </w:t>
      </w:r>
      <w:r>
        <w:rPr>
          <w:rFonts w:hint="eastAsia" w:ascii="Times New Roman" w:hAnsi="Times New Roman" w:cs="Times New Roman"/>
          <w:b/>
          <w:kern w:val="44"/>
          <w:sz w:val="32"/>
          <w:szCs w:val="32"/>
          <w:u w:val="single"/>
        </w:rPr>
        <w:t>青浦区华新镇华志路北侧23-01地块项目交通</w:t>
      </w:r>
    </w:p>
    <w:p>
      <w:pPr>
        <w:spacing w:before="120" w:line="440" w:lineRule="exact"/>
        <w:jc w:val="center"/>
        <w:rPr>
          <w:rFonts w:ascii="Times New Roman" w:hAnsi="Times New Roman" w:cs="Times New Roman"/>
          <w:b/>
          <w:kern w:val="44"/>
          <w:sz w:val="32"/>
          <w:szCs w:val="32"/>
        </w:rPr>
      </w:pPr>
      <w:r>
        <w:rPr>
          <w:rFonts w:hint="eastAsia" w:ascii="Times New Roman" w:hAnsi="Times New Roman" w:cs="Times New Roman"/>
          <w:b/>
          <w:kern w:val="44"/>
          <w:sz w:val="32"/>
          <w:szCs w:val="32"/>
          <w:u w:val="single"/>
        </w:rPr>
        <w:t>标识工程</w:t>
      </w:r>
      <w:r>
        <w:rPr>
          <w:rFonts w:hint="eastAsia" w:ascii="Times New Roman" w:hAnsi="Times New Roman" w:cs="Times New Roman"/>
          <w:b/>
          <w:kern w:val="44"/>
          <w:sz w:val="32"/>
          <w:szCs w:val="32"/>
        </w:rPr>
        <w:t>合同</w:t>
      </w:r>
    </w:p>
    <w:p>
      <w:pPr>
        <w:spacing w:before="20" w:after="20" w:line="360" w:lineRule="auto"/>
        <w:ind w:firstLine="420" w:firstLineChars="200"/>
        <w:rPr>
          <w:rFonts w:ascii="Times New Roman" w:hAnsi="Times New Roman" w:cs="Times New Roman"/>
          <w:szCs w:val="21"/>
          <w:lang w:bidi="ar"/>
        </w:rPr>
      </w:pPr>
    </w:p>
    <w:p>
      <w:pPr>
        <w:spacing w:line="360" w:lineRule="auto"/>
        <w:rPr>
          <w:rFonts w:ascii="Times New Roman" w:hAnsi="Times New Roman" w:cs="Times New Roman" w:eastAsiaTheme="majorEastAsia"/>
          <w:sz w:val="24"/>
        </w:rPr>
      </w:pPr>
      <w:r>
        <w:rPr>
          <w:rFonts w:hint="eastAsia" w:ascii="Times New Roman" w:hAnsi="Times New Roman" w:cs="Times New Roman" w:eastAsiaTheme="majorEastAsia"/>
          <w:sz w:val="24"/>
        </w:rPr>
        <w:t>甲方(</w:t>
      </w:r>
      <w:r>
        <w:rPr>
          <w:rFonts w:hint="eastAsia" w:ascii="Times New Roman" w:hAnsi="Times New Roman" w:cs="Times New Roman"/>
          <w:sz w:val="24"/>
          <w:lang w:bidi="ar"/>
        </w:rPr>
        <w:t>发包人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上海迈信房地产开发有限公司</w:t>
      </w:r>
      <w:r>
        <w:rPr>
          <w:rFonts w:ascii="Times New Roman" w:hAnsi="Times New Roman" w:cs="Times New Roman" w:eastAsiaTheme="majorEastAsia"/>
          <w:sz w:val="24"/>
          <w:u w:val="single"/>
        </w:rPr>
        <w:t xml:space="preserve"> </w:t>
      </w:r>
      <w:r>
        <w:rPr>
          <w:rFonts w:ascii="Times New Roman" w:hAnsi="Times New Roman" w:cs="Times New Roman" w:eastAsiaTheme="majorEastAsia"/>
          <w:sz w:val="24"/>
        </w:rPr>
        <w:t xml:space="preserve"> </w:t>
      </w:r>
    </w:p>
    <w:p>
      <w:pPr>
        <w:spacing w:line="360" w:lineRule="auto"/>
        <w:rPr>
          <w:rFonts w:ascii="Times New Roman" w:hAnsi="Times New Roman" w:cs="Times New Roman" w:eastAsiaTheme="majorEastAsia"/>
          <w:sz w:val="24"/>
        </w:rPr>
      </w:pPr>
      <w:r>
        <w:rPr>
          <w:rFonts w:hint="eastAsia" w:ascii="Times New Roman" w:hAnsi="Times New Roman" w:cs="Times New Roman" w:eastAsiaTheme="majorEastAsia"/>
          <w:sz w:val="24"/>
        </w:rPr>
        <w:t>乙方(</w:t>
      </w:r>
      <w:r>
        <w:rPr>
          <w:rFonts w:hint="eastAsia" w:ascii="Times New Roman" w:hAnsi="Times New Roman" w:cs="Times New Roman"/>
          <w:sz w:val="24"/>
          <w:lang w:bidi="ar"/>
        </w:rPr>
        <w:t>承包人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 xml:space="preserve">              </w:t>
      </w:r>
      <w:r>
        <w:rPr>
          <w:rFonts w:ascii="Times New Roman" w:hAnsi="Times New Roman" w:cs="Times New Roman" w:eastAsiaTheme="majorEastAsia"/>
          <w:sz w:val="24"/>
          <w:u w:val="single"/>
        </w:rPr>
        <w:t xml:space="preserve">                       </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sz w:val="24"/>
        </w:rPr>
        <w:t>根据《中华人民共和国民法典》、《中华人民共和国建筑法》及有关法律规定，遵循平等、自愿、公平和诚实信用的原则，双方就本建设工程施工及有关事项协商一致，共同达成如下协议：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w:t>
      </w:r>
      <w:r>
        <w:rPr>
          <w:rFonts w:hint="eastAsia" w:ascii="Times New Roman" w:hAnsi="Times New Roman" w:cs="Times New Roman"/>
          <w:bCs/>
          <w:kern w:val="44"/>
          <w:sz w:val="24"/>
        </w:rPr>
        <w:t>、工程概况</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w:t>
      </w:r>
      <w:r>
        <w:rPr>
          <w:rFonts w:hint="eastAsia" w:ascii="Times New Roman" w:hAnsi="Times New Roman" w:cs="Times New Roman"/>
          <w:sz w:val="24"/>
          <w:lang w:bidi="ar"/>
        </w:rPr>
        <w:t>工程名称：</w:t>
      </w:r>
      <w:r>
        <w:rPr>
          <w:rFonts w:hint="eastAsia" w:ascii="Times New Roman" w:hAnsi="Times New Roman" w:cs="Times New Roman"/>
          <w:sz w:val="24"/>
          <w:u w:val="single"/>
          <w:lang w:bidi="ar"/>
        </w:rPr>
        <w:t>青浦区华新镇华志路北侧23-01地块项目交通标识工程</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u w:val="single"/>
          <w:lang w:bidi="ar"/>
        </w:rPr>
      </w:pPr>
      <w:r>
        <w:rPr>
          <w:rFonts w:ascii="Times New Roman" w:hAnsi="Times New Roman" w:cs="Times New Roman"/>
          <w:sz w:val="24"/>
          <w:lang w:bidi="ar"/>
        </w:rPr>
        <w:t>1.2</w:t>
      </w:r>
      <w:r>
        <w:rPr>
          <w:rFonts w:hint="eastAsia" w:ascii="Times New Roman" w:hAnsi="Times New Roman" w:cs="Times New Roman"/>
          <w:sz w:val="24"/>
          <w:lang w:bidi="ar"/>
        </w:rPr>
        <w:t>工程地点：</w:t>
      </w:r>
      <w:r>
        <w:rPr>
          <w:rFonts w:hint="eastAsia" w:ascii="Times New Roman" w:hAnsi="Times New Roman" w:cs="Times New Roman"/>
          <w:sz w:val="24"/>
          <w:u w:val="single"/>
          <w:lang w:bidi="ar"/>
        </w:rPr>
        <w:t>上海市青浦区华新镇，四至范围东至：胡家村江，南至：华志路，西至：新通波塘，北至：华硕路。</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w:t>
      </w:r>
      <w:r>
        <w:rPr>
          <w:rFonts w:hint="eastAsia" w:ascii="Times New Roman" w:hAnsi="Times New Roman" w:cs="Times New Roman"/>
          <w:sz w:val="24"/>
          <w:lang w:bidi="ar"/>
        </w:rPr>
        <w:t>承包范围：</w:t>
      </w:r>
      <w:r>
        <w:rPr>
          <w:rFonts w:hint="eastAsia" w:ascii="Times New Roman" w:hAnsi="Times New Roman" w:cs="Times New Roman"/>
          <w:sz w:val="24"/>
          <w:u w:val="single"/>
          <w:lang w:bidi="ar"/>
        </w:rPr>
        <w:t>包括但不限于青浦区华新镇华志路北侧23-01地块项目交通标识工程等的图纸深化、地库标识标线、地面交通标识标线、防撞护角、车档、减速带、导视牌、墙柱面彩绘等内容的制作及安装、施工，以及配合完成机动车停车场库测量测绘，并保证地面和地库通过交警总队、路政及市交通委等相关政府部门验收通过，最终按交付版图纸施工交付完成。</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1.4</w:t>
      </w:r>
      <w:r>
        <w:rPr>
          <w:rFonts w:hint="eastAsia" w:ascii="Times New Roman" w:hAnsi="Times New Roman" w:cs="Times New Roman"/>
          <w:sz w:val="24"/>
          <w:lang w:bidi="ar"/>
        </w:rPr>
        <w:t>总承包单位：</w:t>
      </w:r>
      <w:r>
        <w:rPr>
          <w:rFonts w:hint="eastAsia" w:ascii="Times New Roman" w:hAnsi="Times New Roman" w:cs="Times New Roman"/>
          <w:sz w:val="24"/>
          <w:u w:val="single"/>
          <w:lang w:bidi="ar"/>
        </w:rPr>
        <w:t xml:space="preserve">  中国五冶集团有限公司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1.5</w:t>
      </w:r>
      <w:r>
        <w:rPr>
          <w:rFonts w:hint="eastAsia" w:ascii="Times New Roman" w:hAnsi="Times New Roman" w:cs="Times New Roman"/>
          <w:sz w:val="24"/>
          <w:lang w:bidi="ar"/>
        </w:rPr>
        <w:t>监理单位：</w:t>
      </w:r>
      <w:r>
        <w:rPr>
          <w:rFonts w:hint="eastAsia" w:ascii="Times New Roman" w:hAnsi="Times New Roman" w:cs="Times New Roman"/>
          <w:sz w:val="24"/>
          <w:u w:val="single"/>
          <w:lang w:bidi="ar"/>
        </w:rPr>
        <w:t xml:space="preserve">  上海市建设工程监理咨询有限公司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2</w:t>
      </w:r>
      <w:r>
        <w:rPr>
          <w:rFonts w:hint="eastAsia" w:ascii="Times New Roman" w:hAnsi="Times New Roman" w:cs="Times New Roman"/>
          <w:bCs/>
          <w:kern w:val="44"/>
          <w:sz w:val="24"/>
        </w:rPr>
        <w:t>、合同工期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计划开工日期：大区暂定2024年8月30日（实际开工日期以采购人通知的为准）工期60天；展示区计划开工日期为2024年5月1日（实际开工日期以采购人通知的为准）</w:t>
      </w:r>
      <w:r>
        <w:rPr>
          <w:rFonts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3</w:t>
      </w:r>
      <w:r>
        <w:rPr>
          <w:rFonts w:hint="eastAsia" w:ascii="Times New Roman" w:hAnsi="Times New Roman" w:cs="Times New Roman"/>
          <w:bCs/>
          <w:kern w:val="44"/>
          <w:sz w:val="24"/>
        </w:rPr>
        <w:t>、工程质量标准：</w:t>
      </w:r>
      <w:r>
        <w:rPr>
          <w:rFonts w:hint="eastAsia" w:ascii="Times New Roman" w:hAnsi="Times New Roman" w:cs="Times New Roman"/>
          <w:bCs/>
          <w:kern w:val="44"/>
          <w:sz w:val="24"/>
          <w:u w:val="single"/>
        </w:rPr>
        <w:t xml:space="preserve"> </w:t>
      </w:r>
      <w:r>
        <w:rPr>
          <w:rFonts w:hint="eastAsia" w:ascii="Times New Roman" w:hAnsi="Times New Roman" w:cs="Times New Roman"/>
          <w:sz w:val="24"/>
          <w:u w:val="single"/>
          <w:lang w:bidi="ar"/>
        </w:rPr>
        <w:t xml:space="preserve">合格 </w:t>
      </w:r>
      <w:r>
        <w:rPr>
          <w:rFonts w:hint="eastAsia"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4</w:t>
      </w:r>
      <w:r>
        <w:rPr>
          <w:rFonts w:hint="eastAsia" w:ascii="Times New Roman" w:hAnsi="Times New Roman" w:cs="Times New Roman"/>
          <w:bCs/>
          <w:kern w:val="44"/>
          <w:sz w:val="24"/>
        </w:rPr>
        <w:t>、合同价与合同形式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4.1</w:t>
      </w:r>
      <w:r>
        <w:rPr>
          <w:rFonts w:hint="eastAsia" w:ascii="Times New Roman" w:hAnsi="Times New Roman" w:cs="Times New Roman"/>
          <w:sz w:val="24"/>
          <w:lang w:bidi="ar"/>
        </w:rPr>
        <w:t>签约合同价：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本合同含税暂定总价款为：人民币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 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，其中：不含税价款为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，增值税税额为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，增值税税率为</w:t>
      </w:r>
      <w:r>
        <w:rPr>
          <w:rFonts w:ascii="Times New Roman" w:hAnsi="Times New Roman" w:cs="Times New Roman"/>
          <w:sz w:val="24"/>
          <w:lang w:bidi="ar"/>
        </w:rPr>
        <w:t>_____%</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4.2</w:t>
      </w:r>
      <w:r>
        <w:rPr>
          <w:rFonts w:hint="eastAsia" w:ascii="Times New Roman" w:hAnsi="Times New Roman" w:cs="Times New Roman"/>
          <w:sz w:val="24"/>
          <w:lang w:bidi="ar"/>
        </w:rPr>
        <w:t>合同价格形式：</w:t>
      </w:r>
      <w:r>
        <w:rPr>
          <w:rFonts w:hint="eastAsia" w:ascii="Times New Roman" w:hAnsi="Times New Roman" w:cs="Times New Roman"/>
          <w:sz w:val="24"/>
          <w:u w:val="single"/>
          <w:lang w:bidi="ar"/>
        </w:rPr>
        <w:t>固定单价</w:t>
      </w:r>
      <w:r>
        <w:rPr>
          <w:rFonts w:hint="eastAsia" w:ascii="Times New Roman" w:hAnsi="Times New Roman" w:cs="Times New Roman"/>
          <w:sz w:val="24"/>
          <w:lang w:bidi="ar"/>
        </w:rPr>
        <w:t>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4.3</w:t>
      </w:r>
      <w:r>
        <w:rPr>
          <w:rFonts w:hint="eastAsia" w:ascii="Times New Roman" w:hAnsi="Times New Roman" w:cs="Times New Roman"/>
          <w:sz w:val="24"/>
          <w:lang w:bidi="ar"/>
        </w:rPr>
        <w:t>合同价款中包含的风险范围：</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本合同价款(综合单价)已包含但不限于按本合同及附件、采购文件及附件(含答疑)、施工图及配套说明及工程量清单所列明的承包范围及所涉及的所有工作内容、费用、开支、规范、税费及风险、等为完成本工程的一切费用，包括但不限于图纸深化费、材料费、制作加工费、运输装卸费、二次及以上搬运费、现场安装费、机械费、临时水电及临设费、损耗、采管费、垃圾清运费、场地接收费、临时设施费、安全防护费、文明施工措施费、现场协调配合费、成品及半成品保护费、赶工补偿费、夜间施工费、试验检测费、缺陷修复费、验收交付、异地交通、住宿费以及各种措施费、综合管理费、利润、税金、本合同第1.3条承包范围内全部内容、本合同及附件中乙方全部义务及责任等所有费用及本工程的所有风险及责任。</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(2)乙方根据本合同、采购文件的要求及本工程的具体情况为完成本工程项目施工并满足本项目的进度(含乙方自备发电机)、质量、安全、文明施工等要求而必须采取的措施所发生的各种工程相关费用均已综合考虑在本合同价款中。</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(3)需要内置1ed光源的标识标牌及导视牌，综合单价包含开槽、管线预埋穿线(发光标识系统就近接入照明回路，自照明回路至标识系统的配管穿线由乙方负责，自此接入灯箱内灯具的配管穿线等均由乙方负责)、灯位预留及安装施工费用，原则上不得采取明管安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(4)所有根据合同或其它原因应由乙方缴纳的费用都已包括在本合同价款中。</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(5)本工程需二次深化设计时，乙方已综合考虑相应设计费用并计入合同价款中；相关的深化设计应满足国家、地方现行的相关规范及验收标准，且应满足工程设计单位的技术要求及甲方的技术、标准及效果要求。二次深化设计图纸引起的费用增加由乙方承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(6)本工程若平面图与详图不一致，或有平面图但无具体详图，乙方又在答疑时未提出，不论清单中是否已经计算或估算，甲方将视同该内容已含在工程量清单计算及风险承包范围内。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(7)本工程的水电费已含在乙方所报的合同价款内,由乙方直接向总包单位支付。</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(8)总包配合、管理费用已包含在甲方与总承包人签订的主体施工合同总价中，乙方无需承担。</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(9)从业人员城镇职工基本社会保险费的约定：本项目乙方所有的从业人员城镇职工基本社会保险费由乙方承担；乙方已综合考虑此项费用并包含在合同价款中，工程结算时此项费用均不作任何调整。</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(10)因市场变化等因素导致工程造价变化的一律不得调整合同价款。</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(11)本工程地下室划线需在混凝土基层面进行一遍临时划线，并完成车库</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的测量及验收。</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(12)墙柱面按照验收版方案执行后需对彩色涂料进行铲除并恢复原状。</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(13)按照验收版本执行的需要二次拆除的内容，如临时划线、龙门牌等由乙方负责。</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(14)车位牌需采取吊链式独立安装，不得采用钢丝整体安装，施工前样板需经甲方确认。</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(15)按验收版图纸施工后，乙方须保证通过交警总队、路政及交通委等相关政府部门验收，并配合完成机动车停车场库测量测绘，最终按交付版图纸施工后，乙方须通过甲方验收。</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(16)车位划线、交通设施的验收包含地面65个车位，验收后根据甲方指令选择性拆除。</w:t>
      </w:r>
    </w:p>
    <w:p>
      <w:pPr>
        <w:spacing w:line="460" w:lineRule="atLeast"/>
        <w:ind w:right="42" w:firstLine="480" w:firstLineChars="200"/>
        <w:rPr>
          <w:rFonts w:ascii="宋体" w:hAnsi="宋体" w:eastAsia="宋体" w:cs="宋体"/>
          <w:snapToGrid w:val="0"/>
          <w:sz w:val="24"/>
          <w:lang w:bidi="ar"/>
        </w:rPr>
      </w:pPr>
      <w:r>
        <w:rPr>
          <w:rFonts w:hint="eastAsia" w:ascii="宋体" w:hAnsi="宋体" w:eastAsia="宋体" w:cs="宋体"/>
          <w:snapToGrid w:val="0"/>
          <w:sz w:val="24"/>
          <w:lang w:bidi="ar"/>
        </w:rPr>
        <w:t>(17)</w:t>
      </w:r>
      <w:r>
        <w:rPr>
          <w:rFonts w:hint="eastAsia" w:ascii="宋体" w:hAnsi="宋体" w:eastAsia="宋体" w:cs="宋体"/>
          <w:b/>
          <w:bCs/>
          <w:snapToGrid w:val="0"/>
          <w:sz w:val="24"/>
          <w:u w:val="single"/>
          <w:lang w:bidi="ar"/>
        </w:rPr>
        <w:t>乙方已结合甲方提供的验收版初步方案及上海市相关验收规定，并在措施费清单中充分考虑由此产生的施工、拆除、验收协调等所有费用，工程结算时不再额外增加任何相关费用。</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风险费用的计算方法：</w:t>
      </w:r>
      <w:r>
        <w:rPr>
          <w:rFonts w:hint="eastAsia" w:ascii="Times New Roman" w:hAnsi="Times New Roman" w:cs="Times New Roman"/>
          <w:sz w:val="24"/>
          <w:u w:val="single"/>
          <w:lang w:bidi="ar"/>
        </w:rPr>
        <w:t xml:space="preserve">乙方在报价时已自行考虑上述风险因素并计取足够的风险费用并计入合同金额中，施工过程和竣工结算时不再调整 </w:t>
      </w:r>
      <w:r>
        <w:rPr>
          <w:rFonts w:hint="eastAsia" w:ascii="Times New Roman" w:hAnsi="Times New Roman" w:cs="Times New Roman"/>
          <w:sz w:val="24"/>
          <w:lang w:bidi="ar"/>
        </w:rPr>
        <w:t>。</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4.4</w:t>
      </w:r>
      <w:r>
        <w:rPr>
          <w:rFonts w:hint="eastAsia" w:ascii="Times New Roman" w:hAnsi="Times New Roman" w:cs="Times New Roman"/>
          <w:sz w:val="24"/>
        </w:rPr>
        <w:t>下列文件应视为构成合同文件的组成部分：</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 </w:t>
      </w:r>
      <w:r>
        <w:rPr>
          <w:rFonts w:hint="eastAsia" w:ascii="Times New Roman" w:hAnsi="Times New Roman" w:cs="Times New Roman"/>
          <w:sz w:val="24"/>
        </w:rPr>
        <w:t>成交通知书；</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(2) </w:t>
      </w:r>
      <w:r>
        <w:rPr>
          <w:rFonts w:hint="eastAsia" w:ascii="Times New Roman" w:hAnsi="Times New Roman" w:cs="Times New Roman"/>
          <w:sz w:val="24"/>
        </w:rPr>
        <w:t>报价函；</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(3) </w:t>
      </w:r>
      <w:r>
        <w:rPr>
          <w:rFonts w:hint="eastAsia" w:ascii="Times New Roman" w:hAnsi="Times New Roman" w:cs="Times New Roman"/>
          <w:sz w:val="24"/>
        </w:rPr>
        <w:t>合同条款及各种合同附件；</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(4) </w:t>
      </w:r>
      <w:r>
        <w:rPr>
          <w:rFonts w:hint="eastAsia" w:ascii="Times New Roman" w:hAnsi="Times New Roman" w:cs="Times New Roman"/>
          <w:sz w:val="24"/>
        </w:rPr>
        <w:t>技术标准和要求；</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图纸；</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(6) </w:t>
      </w:r>
      <w:r>
        <w:rPr>
          <w:rFonts w:hint="eastAsia" w:ascii="Times New Roman" w:hAnsi="Times New Roman" w:cs="Times New Roman"/>
          <w:sz w:val="24"/>
        </w:rPr>
        <w:t>已标价工程量清单；</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(7) </w:t>
      </w:r>
      <w:r>
        <w:rPr>
          <w:rFonts w:hint="eastAsia" w:ascii="Times New Roman" w:hAnsi="Times New Roman" w:cs="Times New Roman"/>
          <w:sz w:val="24"/>
        </w:rPr>
        <w:t>乙方有关人员、设备投入的承诺及响应文件中的施工组织设计；；</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(8) </w:t>
      </w:r>
      <w:r>
        <w:rPr>
          <w:rFonts w:hint="eastAsia" w:ascii="Times New Roman" w:hAnsi="Times New Roman" w:cs="Times New Roman"/>
          <w:sz w:val="24"/>
        </w:rPr>
        <w:t>其他合同文件。</w:t>
      </w:r>
    </w:p>
    <w:p>
      <w:pPr>
        <w:pStyle w:val="2"/>
        <w:spacing w:line="360" w:lineRule="auto"/>
        <w:ind w:firstLine="484" w:firstLineChars="202"/>
        <w:rPr>
          <w:rFonts w:ascii="Times New Roman" w:hAnsi="Times New Roman" w:cs="Times New Roman"/>
          <w:sz w:val="24"/>
          <w:lang w:bidi="ar"/>
        </w:rPr>
      </w:pPr>
      <w:r>
        <w:rPr>
          <w:rFonts w:hint="eastAsia" w:ascii="Times New Roman" w:hAnsi="Times New Roman" w:cs="Times New Roman"/>
          <w:sz w:val="24"/>
          <w:lang w:bidi="ar"/>
        </w:rPr>
        <w:t>上述文件互相补充和解释，如有不明确或不一致之处，以合同约定次序在先者为准。</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5</w:t>
      </w:r>
      <w:r>
        <w:rPr>
          <w:rFonts w:hint="eastAsia" w:ascii="Times New Roman" w:hAnsi="Times New Roman" w:cs="Times New Roman"/>
          <w:bCs/>
          <w:kern w:val="44"/>
          <w:sz w:val="24"/>
        </w:rPr>
        <w:t>、工程费用变更</w:t>
      </w:r>
    </w:p>
    <w:p>
      <w:pPr>
        <w:pStyle w:val="2"/>
        <w:ind w:firstLine="480" w:firstLineChars="200"/>
        <w:rPr>
          <w:rFonts w:ascii="Times New Roman" w:hAnsi="Times New Roman" w:cs="Times New Roman"/>
          <w:sz w:val="24"/>
          <w:lang w:bidi="ar"/>
        </w:rPr>
      </w:pPr>
      <w:r>
        <w:rPr>
          <w:rFonts w:hint="eastAsia" w:ascii="Times New Roman" w:hAnsi="Times New Roman" w:cs="Times New Roman"/>
          <w:sz w:val="24"/>
          <w:lang w:bidi="ar"/>
        </w:rPr>
        <w:t>因乙方原因导致增加内容或额外工作产生的费用由乙方承担，不属于变更签证范围。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5.1</w:t>
      </w:r>
      <w:r>
        <w:rPr>
          <w:rFonts w:hint="eastAsia" w:ascii="Times New Roman" w:hAnsi="Times New Roman" w:cs="Times New Roman"/>
          <w:sz w:val="24"/>
          <w:lang w:bidi="ar"/>
        </w:rPr>
        <w:t>变更估价原则：</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合同中有相同项目的，执行合同原有的价格。（合同中存在二个及以上相同工程项目且单价不同时，参照其中价格最低的单价。）无论增减幅度如何，均执行合同原有的价格；</w:t>
      </w:r>
    </w:p>
    <w:p>
      <w:pPr>
        <w:spacing w:before="20" w:after="20" w:line="360" w:lineRule="auto"/>
        <w:ind w:firstLine="240" w:firstLineChars="100"/>
        <w:rPr>
          <w:rFonts w:ascii="Times New Roman" w:hAnsi="Times New Roman" w:cs="Times New Roman"/>
          <w:sz w:val="24"/>
          <w:lang w:bidi="ar"/>
        </w:rPr>
      </w:pPr>
      <w:r>
        <w:rPr>
          <w:rFonts w:hint="eastAsia" w:ascii="Times New Roman" w:hAnsi="Times New Roman" w:cs="Times New Roman"/>
          <w:sz w:val="24"/>
          <w:lang w:bidi="ar"/>
        </w:rPr>
        <w:t>（2）合同中无相同项目，由乙方申报并经甲方（含第三方审计机构）审定后，作为结算的依据。</w:t>
      </w:r>
    </w:p>
    <w:p>
      <w:pPr>
        <w:spacing w:line="360" w:lineRule="auto"/>
        <w:ind w:firstLine="240" w:firstLineChars="1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3</w:t>
      </w:r>
      <w:r>
        <w:rPr>
          <w:rFonts w:hint="eastAsia" w:ascii="Times New Roman" w:hAnsi="Times New Roman" w:cs="Times New Roman"/>
          <w:sz w:val="24"/>
          <w:lang w:bidi="ar"/>
        </w:rPr>
        <w:t>）变更中涉及的已标价清单中没有的材料、机械价格，按变更实施当期工程所在地工程造价管理机构发布的信息价格执行；如信息价格缺价的，采用共同调研价。</w:t>
      </w:r>
    </w:p>
    <w:p>
      <w:pPr>
        <w:spacing w:before="20" w:after="20" w:line="360" w:lineRule="auto"/>
        <w:ind w:firstLine="240" w:firstLineChars="100"/>
        <w:rPr>
          <w:rFonts w:ascii="Times New Roman" w:hAnsi="Times New Roman" w:cs="Times New Roman"/>
          <w:sz w:val="24"/>
          <w:lang w:bidi="ar"/>
        </w:rPr>
      </w:pPr>
      <w:r>
        <w:rPr>
          <w:rFonts w:hint="eastAsia" w:ascii="Times New Roman" w:hAnsi="Times New Roman" w:cs="Times New Roman"/>
          <w:sz w:val="24"/>
          <w:lang w:bidi="ar"/>
        </w:rPr>
        <w:t>（4）本项目施工措施费用包干使用，不因工程数量和工程项目的增加或减少而调整。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5.2</w:t>
      </w:r>
      <w:r>
        <w:rPr>
          <w:rFonts w:hint="eastAsia" w:ascii="Times New Roman" w:hAnsi="Times New Roman" w:cs="Times New Roman"/>
          <w:sz w:val="24"/>
          <w:lang w:bidi="ar"/>
        </w:rPr>
        <w:t>变更估价程序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设计变更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1)</w:t>
      </w:r>
      <w:r>
        <w:rPr>
          <w:rFonts w:hint="eastAsia" w:ascii="Times New Roman" w:hAnsi="Times New Roman" w:cs="Times New Roman"/>
          <w:sz w:val="24"/>
          <w:lang w:bidi="ar"/>
        </w:rPr>
        <w:t>《设计变更验收表》需加盖甲方公章方为有效，没有盖章的单据不予结算。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2)</w:t>
      </w:r>
      <w:r>
        <w:rPr>
          <w:rFonts w:hint="eastAsia" w:ascii="Times New Roman" w:hAnsi="Times New Roman" w:cs="Times New Roman"/>
          <w:sz w:val="24"/>
          <w:lang w:bidi="ar"/>
        </w:rPr>
        <w:t>设计变更实施后，需各方代表确认完成情况并会签。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现场签证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《现场签证单》需乙方、监理单位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、甲方进行会签，明确签证的详细内容，若涉及隐蔽工程及其它事后不可复核的内容，必须附图片等资料证实。</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施工中乙方不得对原工程设计擅自进行变更。因乙方擅自变更发生的费用和由此导致甲方的直接损失，由乙方承担，延误的工期不予顺延。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w:t>
      </w:r>
      <w:r>
        <w:rPr>
          <w:rFonts w:hint="eastAsia" w:ascii="Times New Roman" w:hAnsi="Times New Roman" w:cs="Times New Roman"/>
          <w:sz w:val="24"/>
          <w:lang w:bidi="ar"/>
        </w:rPr>
        <w:t>乙方不执行甲方变更指令，或不按照甲方要求实施变更的，甲方有权委托其他单位进行施工，由此产生的费用及损失将直接从乙方应付工程进度款中扣除，延误的工期不予顺延。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5.3</w:t>
      </w:r>
      <w:r>
        <w:rPr>
          <w:rFonts w:hint="eastAsia" w:ascii="Times New Roman" w:hAnsi="Times New Roman" w:cs="Times New Roman"/>
          <w:sz w:val="24"/>
          <w:lang w:bidi="ar"/>
        </w:rPr>
        <w:t>工程量清单错误的修正</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出现工程量清单错误时，是否调整合同价格：属于本条下述条款“允许调整合同价格的工程量偏差范围”内的，可以调整。只允许调整总价，不允许调整固定单价(本合同另有约定的除外)。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允许调整合同价格的工程量偏差范围：甲方提供的工程量清单存在项目特征不符、规格不符、缺项、漏项、工程量偏差的按实调整（不包括乙方报价及已标价工程量清单中的缺项漏项或少报误报情况）。工程量清单修正的价格确定原则按合同 5.1条变更估价原则执行。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5.4 </w:t>
      </w:r>
      <w:r>
        <w:rPr>
          <w:rFonts w:hint="eastAsia" w:ascii="Times New Roman" w:hAnsi="Times New Roman" w:cs="Times New Roman"/>
          <w:sz w:val="24"/>
          <w:lang w:bidi="ar"/>
        </w:rPr>
        <w:t>市场价格波动引起的调整</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市场价格波动是否调整合同价格的约定：不调整。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6</w:t>
      </w:r>
      <w:r>
        <w:rPr>
          <w:rFonts w:hint="eastAsia" w:ascii="Times New Roman" w:hAnsi="Times New Roman" w:cs="Times New Roman"/>
          <w:bCs/>
          <w:kern w:val="44"/>
          <w:sz w:val="24"/>
        </w:rPr>
        <w:t>、合同价格计量与支付</w:t>
      </w:r>
      <w:r>
        <w:rPr>
          <w:rFonts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6.1</w:t>
      </w:r>
      <w:r>
        <w:rPr>
          <w:rFonts w:hint="eastAsia" w:ascii="Times New Roman" w:hAnsi="Times New Roman" w:cs="Times New Roman"/>
          <w:sz w:val="24"/>
          <w:lang w:bidi="ar"/>
        </w:rPr>
        <w:t>付款周期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关于付款周期的约定：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（1）乙方达到合同约定的支付节点后，甲方、监理单位、乙方共同确认现场进度形象，并签署书面意见；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（2）工程进度款按【月】实际完成工程造价的【80】%付款，并扣除合同约定的相关费用（相关费用包含甲方代扣代缴、预付款、违约处罚等费用，下同）；</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（3）工程竣工验收合格后30日内，甲方支付至已完工程造价的85%，并扣除合同约定的相关费用；</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（4）工程竣工且移交完成，并通过甲方结算审核后，甲方支付至工程结算价（的【97】%（付款前乙方须开具全额结算价的增值税专用发票，包括质量保证金），剩余工程结算价的【3】%作为工程质量保证金。</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（5）自本项目竣工验收合格之日起满两年后，甲方无息返还工程结算价【3】%的质量保证金（扣除相关责任款）。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6.2</w:t>
      </w:r>
      <w:r>
        <w:rPr>
          <w:rFonts w:hint="eastAsia" w:ascii="Times New Roman" w:hAnsi="Times New Roman" w:cs="Times New Roman"/>
          <w:sz w:val="24"/>
          <w:lang w:bidi="ar"/>
        </w:rPr>
        <w:t>乙方每次申请支付工程款前，须提出书面申请并开具满足政府主管部门要求的足额增值税专用发票，发票金额不作为最终结算金额，最终结算金额以甲方审核定案为准。因乙方原因未提供符合甲方要求的发票导致付款迟延，甲方不承担任何责任。</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w:t>
      </w:r>
      <w:r>
        <w:rPr>
          <w:rFonts w:hint="eastAsia" w:ascii="Times New Roman" w:hAnsi="Times New Roman" w:cs="Times New Roman"/>
          <w:bCs/>
          <w:kern w:val="44"/>
          <w:sz w:val="24"/>
        </w:rPr>
        <w:t>、竣工结算</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7.1</w:t>
      </w:r>
      <w:r>
        <w:rPr>
          <w:rFonts w:hint="eastAsia" w:ascii="Times New Roman" w:hAnsi="Times New Roman" w:cs="Times New Roman"/>
          <w:bCs/>
          <w:kern w:val="44"/>
          <w:sz w:val="24"/>
        </w:rPr>
        <w:t>竣工结算申请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乙方提交竣工结算申请单的期限：在工程竣工验收合格后【</w:t>
      </w:r>
      <w:r>
        <w:rPr>
          <w:rFonts w:ascii="Times New Roman" w:hAnsi="Times New Roman" w:cs="Times New Roman"/>
          <w:sz w:val="24"/>
          <w:lang w:bidi="ar"/>
        </w:rPr>
        <w:t>28</w:t>
      </w:r>
      <w:r>
        <w:rPr>
          <w:rFonts w:hint="eastAsia" w:ascii="Times New Roman" w:hAnsi="Times New Roman" w:cs="Times New Roman"/>
          <w:sz w:val="24"/>
          <w:lang w:bidi="ar"/>
        </w:rPr>
        <w:t>】天内提交竣工结算申请单及完整的结算资料【</w:t>
      </w:r>
      <w:r>
        <w:rPr>
          <w:rFonts w:ascii="Times New Roman" w:hAnsi="Times New Roman" w:cs="Times New Roman"/>
          <w:sz w:val="24"/>
          <w:lang w:bidi="ar"/>
        </w:rPr>
        <w:t>6</w:t>
      </w:r>
      <w:r>
        <w:rPr>
          <w:rFonts w:hint="eastAsia" w:ascii="Times New Roman" w:hAnsi="Times New Roman" w:cs="Times New Roman"/>
          <w:sz w:val="24"/>
          <w:lang w:bidi="ar"/>
        </w:rPr>
        <w:t>】份。经甲方、监理单位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14</w:t>
      </w:r>
      <w:r>
        <w:rPr>
          <w:rFonts w:hint="eastAsia" w:ascii="Times New Roman" w:hAnsi="Times New Roman" w:cs="Times New Roman"/>
          <w:sz w:val="24"/>
          <w:lang w:bidi="ar"/>
        </w:rPr>
        <w:t>】天内仍未提供或明确答复，甲方、监理单位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有权根据已有资料进行审查，出具的结算书有效，乙方不得有异议。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竣工结算申请单至少应包括的内容：（</w:t>
      </w:r>
      <w:r>
        <w:rPr>
          <w:rFonts w:ascii="Times New Roman" w:hAnsi="Times New Roman" w:cs="Times New Roman"/>
          <w:sz w:val="24"/>
          <w:lang w:bidi="ar"/>
        </w:rPr>
        <w:t>1</w:t>
      </w:r>
      <w:r>
        <w:rPr>
          <w:rFonts w:hint="eastAsia" w:ascii="Times New Roman" w:hAnsi="Times New Roman" w:cs="Times New Roman"/>
          <w:sz w:val="24"/>
          <w:lang w:bidi="ar"/>
        </w:rPr>
        <w:t>）竣工结算合同价格；（</w:t>
      </w:r>
      <w:r>
        <w:rPr>
          <w:rFonts w:ascii="Times New Roman" w:hAnsi="Times New Roman" w:cs="Times New Roman"/>
          <w:sz w:val="24"/>
          <w:lang w:bidi="ar"/>
        </w:rPr>
        <w:t>2</w:t>
      </w:r>
      <w:r>
        <w:rPr>
          <w:rFonts w:hint="eastAsia" w:ascii="Times New Roman" w:hAnsi="Times New Roman" w:cs="Times New Roman"/>
          <w:sz w:val="24"/>
          <w:lang w:bidi="ar"/>
        </w:rPr>
        <w:t>）甲方已支付乙方的款项；（</w:t>
      </w:r>
      <w:r>
        <w:rPr>
          <w:rFonts w:ascii="Times New Roman" w:hAnsi="Times New Roman" w:cs="Times New Roman"/>
          <w:sz w:val="24"/>
          <w:lang w:bidi="ar"/>
        </w:rPr>
        <w:t>3</w:t>
      </w:r>
      <w:r>
        <w:rPr>
          <w:rFonts w:hint="eastAsia" w:ascii="Times New Roman" w:hAnsi="Times New Roman" w:cs="Times New Roman"/>
          <w:sz w:val="24"/>
          <w:lang w:bidi="ar"/>
        </w:rPr>
        <w:t>）应扣留的质量保证金；（</w:t>
      </w:r>
      <w:r>
        <w:rPr>
          <w:rFonts w:ascii="Times New Roman" w:hAnsi="Times New Roman" w:cs="Times New Roman"/>
          <w:sz w:val="24"/>
          <w:lang w:bidi="ar"/>
        </w:rPr>
        <w:t>4</w:t>
      </w:r>
      <w:r>
        <w:rPr>
          <w:rFonts w:hint="eastAsia" w:ascii="Times New Roman" w:hAnsi="Times New Roman" w:cs="Times New Roman"/>
          <w:sz w:val="24"/>
          <w:lang w:bidi="ar"/>
        </w:rPr>
        <w:t>）乙方应支付甲方的违约金、赔偿金以及代付应扣款项金额；（</w:t>
      </w:r>
      <w:r>
        <w:rPr>
          <w:rFonts w:ascii="Times New Roman" w:hAnsi="Times New Roman" w:cs="Times New Roman"/>
          <w:sz w:val="24"/>
          <w:lang w:bidi="ar"/>
        </w:rPr>
        <w:t>5</w:t>
      </w:r>
      <w:r>
        <w:rPr>
          <w:rFonts w:hint="eastAsia" w:ascii="Times New Roman" w:hAnsi="Times New Roman" w:cs="Times New Roman"/>
          <w:sz w:val="24"/>
          <w:lang w:bidi="ar"/>
        </w:rPr>
        <w:t>）甲方应支付乙方的合同价款。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关于乙方提交结算资料的约定：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1</w:t>
      </w:r>
      <w:r>
        <w:rPr>
          <w:rFonts w:hint="eastAsia" w:ascii="Times New Roman" w:hAnsi="Times New Roman" w:cs="Times New Roman"/>
          <w:sz w:val="24"/>
          <w:lang w:bidi="ar"/>
        </w:rPr>
        <w:t>）乙方提交的结算资料至少应包含以下内容（书面版及电子版同时提供）：</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①</w:t>
      </w:r>
      <w:r>
        <w:rPr>
          <w:rFonts w:hint="eastAsia" w:ascii="Times New Roman" w:hAnsi="Times New Roman" w:cs="Times New Roman"/>
          <w:sz w:val="24"/>
          <w:lang w:bidi="ar"/>
        </w:rPr>
        <w:t>施工合同文件，补充协议书</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②</w:t>
      </w:r>
      <w:r>
        <w:rPr>
          <w:rFonts w:hint="eastAsia" w:ascii="Times New Roman" w:hAnsi="Times New Roman" w:cs="Times New Roman"/>
          <w:sz w:val="24"/>
          <w:lang w:bidi="ar"/>
        </w:rPr>
        <w:t>采购文件、采购答疑文件、采购文件（含投标预算书）；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③</w:t>
      </w:r>
      <w:r>
        <w:rPr>
          <w:rFonts w:hint="eastAsia" w:ascii="Times New Roman" w:hAnsi="Times New Roman" w:cs="Times New Roman"/>
          <w:sz w:val="24"/>
          <w:lang w:bidi="ar"/>
        </w:rPr>
        <w:t>采购施工图、竣工图纸；</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④</w:t>
      </w:r>
      <w:r>
        <w:rPr>
          <w:rFonts w:hint="eastAsia" w:ascii="Times New Roman" w:hAnsi="Times New Roman" w:cs="Times New Roman"/>
          <w:sz w:val="24"/>
          <w:lang w:bidi="ar"/>
        </w:rPr>
        <w:t>材料设备价格确认单，材料设备到货验收单，材差调整审定文件</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⑤</w:t>
      </w:r>
      <w:r>
        <w:rPr>
          <w:rFonts w:hint="eastAsia" w:ascii="Times New Roman" w:hAnsi="Times New Roman" w:cs="Times New Roman"/>
          <w:sz w:val="24"/>
          <w:lang w:bidi="ar"/>
        </w:rPr>
        <w:t>设计变更单、现场签证及相应的预算书；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⑥</w:t>
      </w:r>
      <w:r>
        <w:rPr>
          <w:rFonts w:hint="eastAsia" w:ascii="Times New Roman" w:hAnsi="Times New Roman" w:cs="Times New Roman"/>
          <w:sz w:val="24"/>
          <w:lang w:bidi="ar"/>
        </w:rPr>
        <w:t>工程竣工验收资料；</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⑦</w:t>
      </w:r>
      <w:r>
        <w:rPr>
          <w:rFonts w:hint="eastAsia" w:ascii="Times New Roman" w:hAnsi="Times New Roman" w:cs="Times New Roman"/>
          <w:sz w:val="24"/>
          <w:lang w:bidi="ar"/>
        </w:rPr>
        <w:t>工程结算申请书；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⑧</w:t>
      </w:r>
      <w:r>
        <w:rPr>
          <w:rFonts w:hint="eastAsia" w:ascii="Times New Roman" w:hAnsi="Times New Roman" w:cs="Times New Roman"/>
          <w:sz w:val="24"/>
          <w:lang w:bidi="ar"/>
        </w:rPr>
        <w:t>工期、质量、安全文明的奖励或处罚，及违约金索赔单；</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⑨</w:t>
      </w:r>
      <w:r>
        <w:rPr>
          <w:rFonts w:hint="eastAsia" w:ascii="Times New Roman" w:hAnsi="Times New Roman" w:cs="Times New Roman"/>
          <w:sz w:val="24"/>
          <w:lang w:bidi="ar"/>
        </w:rPr>
        <w:t>其他与工程结算相关的双方确认的协议书等有效证明文件。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2</w:t>
      </w:r>
      <w:r>
        <w:rPr>
          <w:rFonts w:hint="eastAsia" w:ascii="Times New Roman" w:hAnsi="Times New Roman" w:cs="Times New Roman"/>
          <w:sz w:val="24"/>
          <w:lang w:bidi="ar"/>
        </w:rPr>
        <w:t>）【设计变更单、现场签证】等结算资料应为原件，而且不能另补，因甲方原因造成没有存档的资料除外。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3</w:t>
      </w:r>
      <w:r>
        <w:rPr>
          <w:rFonts w:hint="eastAsia" w:ascii="Times New Roman" w:hAnsi="Times New Roman" w:cs="Times New Roman"/>
          <w:sz w:val="24"/>
          <w:lang w:bidi="ar"/>
        </w:rPr>
        <w:t>）竣工图必须正确反应现场情况，并按有关规定正确绘制。若发现竣工图失实或弄虚作假，发现</w:t>
      </w:r>
      <w:r>
        <w:rPr>
          <w:rFonts w:ascii="Times New Roman" w:hAnsi="Times New Roman" w:cs="Times New Roman"/>
          <w:sz w:val="24"/>
          <w:lang w:bidi="ar"/>
        </w:rPr>
        <w:t>1</w:t>
      </w:r>
      <w:r>
        <w:rPr>
          <w:rFonts w:hint="eastAsia" w:ascii="Times New Roman" w:hAnsi="Times New Roman" w:cs="Times New Roman"/>
          <w:sz w:val="24"/>
          <w:lang w:bidi="ar"/>
        </w:rPr>
        <w:t>处乙方应支付违约金【</w:t>
      </w:r>
      <w:r>
        <w:rPr>
          <w:rFonts w:ascii="Times New Roman" w:hAnsi="Times New Roman" w:cs="Times New Roman"/>
          <w:sz w:val="24"/>
          <w:lang w:bidi="ar"/>
        </w:rPr>
        <w:t>1000</w:t>
      </w:r>
      <w:r>
        <w:rPr>
          <w:rFonts w:hint="eastAsia" w:ascii="Times New Roman" w:hAnsi="Times New Roman" w:cs="Times New Roman"/>
          <w:sz w:val="24"/>
          <w:lang w:bidi="ar"/>
        </w:rPr>
        <w:t>】元，同时乙方须重新绘制竣工图。</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7.2</w:t>
      </w:r>
      <w:r>
        <w:rPr>
          <w:rFonts w:hint="eastAsia" w:ascii="Times New Roman" w:hAnsi="Times New Roman" w:cs="Times New Roman"/>
          <w:bCs/>
          <w:kern w:val="44"/>
          <w:sz w:val="24"/>
        </w:rPr>
        <w:t>、竣工结算审核</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 </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应在收到竣工结算申请单后【</w:t>
      </w:r>
      <w:r>
        <w:rPr>
          <w:rFonts w:ascii="Times New Roman" w:hAnsi="Times New Roman" w:cs="Times New Roman"/>
          <w:sz w:val="24"/>
          <w:lang w:bidi="ar"/>
        </w:rPr>
        <w:t>14</w:t>
      </w:r>
      <w:r>
        <w:rPr>
          <w:rFonts w:hint="eastAsia" w:ascii="Times New Roman" w:hAnsi="Times New Roman" w:cs="Times New Roman"/>
          <w:sz w:val="24"/>
          <w:lang w:bidi="ar"/>
        </w:rPr>
        <w:t>】天内完成核查并报送甲方。甲方及第三方审计机构（含复审机构）应在收到监理单位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提交的经审核的竣工结算申请单后【</w:t>
      </w:r>
      <w:r>
        <w:rPr>
          <w:rFonts w:ascii="Times New Roman" w:hAnsi="Times New Roman" w:cs="Times New Roman"/>
          <w:sz w:val="24"/>
          <w:lang w:bidi="ar"/>
        </w:rPr>
        <w:t>90</w:t>
      </w:r>
      <w:r>
        <w:rPr>
          <w:rFonts w:hint="eastAsia" w:ascii="Times New Roman" w:hAnsi="Times New Roman" w:cs="Times New Roman"/>
          <w:sz w:val="24"/>
          <w:lang w:bidi="ar"/>
        </w:rPr>
        <w:t>】天内完成审核，并提出意见。监理单位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或甲方对竣工结算申请单有异议的，有权要求乙方进行修正和提供补充资料，乙方应提交修正后的竣工结算申请单。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在竣工结算审核期间，乙方有义务及时配合甲方、监理单位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及甲方委托的第三方审计机构的审查工作，提供甲方、监理单位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及甲方委托的第三方审计机构需要的资料和进行相关的解释说明，在甲方、监理单位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10</w:t>
      </w:r>
      <w:r>
        <w:rPr>
          <w:rFonts w:hint="eastAsia" w:ascii="Times New Roman" w:hAnsi="Times New Roman" w:cs="Times New Roman"/>
          <w:sz w:val="24"/>
          <w:lang w:bidi="ar"/>
        </w:rPr>
        <w:t>】天内，乙方仍无正当理由不配合及不签字认可结算结果的，甲方、监理单位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及甲方委托的第三方审计机构有权自行审查，出具的结算书有效，乙方不得有异议。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(3) </w:t>
      </w:r>
      <w:r>
        <w:rPr>
          <w:rFonts w:hint="eastAsia" w:ascii="Times New Roman" w:hAnsi="Times New Roman" w:cs="Times New Roman"/>
          <w:sz w:val="24"/>
          <w:lang w:bidi="ar"/>
        </w:rPr>
        <w:t>乙方提交的项目工程结算，经甲方、甲方委托的第三方审计机构审核后，结算审减率≤</w:t>
      </w:r>
      <w:r>
        <w:rPr>
          <w:rFonts w:ascii="Times New Roman" w:hAnsi="Times New Roman" w:cs="Times New Roman"/>
          <w:sz w:val="24"/>
          <w:lang w:bidi="ar"/>
        </w:rPr>
        <w:t>3%</w:t>
      </w:r>
      <w:r>
        <w:rPr>
          <w:rFonts w:hint="eastAsia" w:ascii="Times New Roman" w:hAnsi="Times New Roman" w:cs="Times New Roman"/>
          <w:sz w:val="24"/>
          <w:lang w:bidi="ar"/>
        </w:rPr>
        <w:t>的，审计费用由甲方支付；若结算审减率超出</w:t>
      </w:r>
      <w:r>
        <w:rPr>
          <w:rFonts w:ascii="Times New Roman" w:hAnsi="Times New Roman" w:cs="Times New Roman"/>
          <w:sz w:val="24"/>
          <w:lang w:bidi="ar"/>
        </w:rPr>
        <w:t>3%</w:t>
      </w:r>
      <w:r>
        <w:rPr>
          <w:rFonts w:hint="eastAsia" w:ascii="Times New Roman" w:hAnsi="Times New Roman" w:cs="Times New Roman"/>
          <w:sz w:val="24"/>
          <w:lang w:bidi="ar"/>
        </w:rPr>
        <w:t>的，则超出</w:t>
      </w:r>
      <w:r>
        <w:rPr>
          <w:rFonts w:ascii="Times New Roman" w:hAnsi="Times New Roman" w:cs="Times New Roman"/>
          <w:sz w:val="24"/>
          <w:lang w:bidi="ar"/>
        </w:rPr>
        <w:t>3%</w:t>
      </w:r>
      <w:r>
        <w:rPr>
          <w:rFonts w:hint="eastAsia" w:ascii="Times New Roman" w:hAnsi="Times New Roman" w:cs="Times New Roman"/>
          <w:sz w:val="24"/>
          <w:lang w:bidi="ar"/>
        </w:rPr>
        <w:t>的部分所形成的审计费用由乙方支付。乙方支付审计费</w:t>
      </w:r>
      <w:r>
        <w:rPr>
          <w:rFonts w:ascii="Times New Roman" w:hAnsi="Times New Roman" w:cs="Times New Roman"/>
          <w:sz w:val="24"/>
          <w:lang w:bidi="ar"/>
        </w:rPr>
        <w:t>=</w:t>
      </w:r>
      <w:r>
        <w:rPr>
          <w:rFonts w:hint="eastAsia" w:ascii="Times New Roman" w:hAnsi="Times New Roman" w:cs="Times New Roman"/>
          <w:sz w:val="24"/>
          <w:lang w:bidi="ar"/>
        </w:rPr>
        <w:t>（审增部分</w:t>
      </w:r>
      <w:r>
        <w:rPr>
          <w:rFonts w:ascii="Times New Roman" w:hAnsi="Times New Roman" w:cs="Times New Roman"/>
          <w:sz w:val="24"/>
          <w:lang w:bidi="ar"/>
        </w:rPr>
        <w:t>+</w:t>
      </w:r>
      <w:r>
        <w:rPr>
          <w:rFonts w:hint="eastAsia" w:ascii="Times New Roman" w:hAnsi="Times New Roman" w:cs="Times New Roman"/>
          <w:sz w:val="24"/>
          <w:lang w:bidi="ar"/>
        </w:rPr>
        <w:t>超过</w:t>
      </w:r>
      <w:r>
        <w:rPr>
          <w:rFonts w:ascii="Times New Roman" w:hAnsi="Times New Roman" w:cs="Times New Roman"/>
          <w:sz w:val="24"/>
          <w:lang w:bidi="ar"/>
        </w:rPr>
        <w:t>3%</w:t>
      </w:r>
      <w:r>
        <w:rPr>
          <w:rFonts w:hint="eastAsia" w:ascii="Times New Roman" w:hAnsi="Times New Roman" w:cs="Times New Roman"/>
          <w:sz w:val="24"/>
          <w:lang w:bidi="ar"/>
        </w:rPr>
        <w:t>审减）</w:t>
      </w:r>
      <w:r>
        <w:rPr>
          <w:rFonts w:ascii="Times New Roman" w:hAnsi="Times New Roman" w:cs="Times New Roman"/>
          <w:sz w:val="24"/>
          <w:lang w:bidi="ar"/>
        </w:rPr>
        <w:t>×5</w:t>
      </w:r>
      <w:r>
        <w:rPr>
          <w:rFonts w:hint="eastAsia" w:ascii="Times New Roman" w:hAnsi="Times New Roman" w:cs="Times New Roman"/>
          <w:sz w:val="24"/>
          <w:lang w:bidi="ar"/>
        </w:rPr>
        <w:t>％，甲方在第三方审计机构出具审计报告后【</w:t>
      </w:r>
      <w:r>
        <w:rPr>
          <w:rFonts w:ascii="Times New Roman" w:hAnsi="Times New Roman" w:cs="Times New Roman"/>
          <w:sz w:val="24"/>
          <w:lang w:bidi="ar"/>
        </w:rPr>
        <w:t>14</w:t>
      </w:r>
      <w:r>
        <w:rPr>
          <w:rFonts w:hint="eastAsia" w:ascii="Times New Roman" w:hAnsi="Times New Roman" w:cs="Times New Roman"/>
          <w:sz w:val="24"/>
          <w:lang w:bidi="ar"/>
        </w:rPr>
        <w:t>】天内从乙方工程结算款中代扣支付。结算审减率</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w:t>
      </w:r>
      <w:r>
        <w:rPr>
          <w:rFonts w:hint="eastAsia" w:ascii="Times New Roman" w:hAnsi="Times New Roman" w:cs="Times New Roman"/>
          <w:sz w:val="24"/>
          <w:lang w:bidi="ar"/>
        </w:rPr>
        <w:t>最终计算定案结算金额）</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×100%</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8</w:t>
      </w:r>
      <w:r>
        <w:rPr>
          <w:rFonts w:hint="eastAsia" w:ascii="Times New Roman" w:hAnsi="Times New Roman" w:cs="Times New Roman"/>
          <w:bCs/>
          <w:kern w:val="44"/>
          <w:sz w:val="24"/>
        </w:rPr>
        <w:t>、甲方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8.1</w:t>
      </w:r>
      <w:r>
        <w:rPr>
          <w:rFonts w:hint="eastAsia" w:ascii="Times New Roman" w:hAnsi="Times New Roman" w:cs="Times New Roman"/>
          <w:sz w:val="24"/>
          <w:lang w:bidi="ar"/>
        </w:rPr>
        <w:t>甲方委派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为驻工地代表，对接、协调、审批本合同范围内事项。需盖章的文件以甲方加盖公章为准。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8.2</w:t>
      </w:r>
      <w:r>
        <w:rPr>
          <w:rFonts w:hint="eastAsia" w:ascii="Times New Roman" w:hAnsi="Times New Roman" w:cs="Times New Roman"/>
          <w:sz w:val="24"/>
          <w:lang w:bidi="ar"/>
        </w:rPr>
        <w:t>组织乙方进行图纸及资料会审。</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8.3</w:t>
      </w:r>
      <w:r>
        <w:rPr>
          <w:rFonts w:hint="eastAsia" w:ascii="Times New Roman" w:hAnsi="Times New Roman" w:cs="Times New Roman"/>
          <w:sz w:val="24"/>
          <w:lang w:bidi="ar"/>
        </w:rPr>
        <w:t>委派驻工地现场代表，对乙方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8.4</w:t>
      </w:r>
      <w:r>
        <w:rPr>
          <w:rFonts w:hint="eastAsia" w:ascii="Times New Roman" w:hAnsi="Times New Roman" w:cs="Times New Roman"/>
          <w:sz w:val="24"/>
          <w:lang w:bidi="ar"/>
        </w:rPr>
        <w:t>协调乙方施工中与其他专业工程施工方的配合。</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8.5</w:t>
      </w:r>
      <w:r>
        <w:rPr>
          <w:rFonts w:hint="eastAsia" w:ascii="Times New Roman" w:hAnsi="Times New Roman" w:cs="Times New Roman"/>
          <w:sz w:val="24"/>
          <w:lang w:bidi="ar"/>
        </w:rPr>
        <w:t>审核核实乙方工程进度，按合同约定按时支付乙方工程款。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9</w:t>
      </w:r>
      <w:r>
        <w:rPr>
          <w:rFonts w:hint="eastAsia" w:ascii="Times New Roman" w:hAnsi="Times New Roman" w:cs="Times New Roman"/>
          <w:bCs/>
          <w:kern w:val="44"/>
          <w:sz w:val="24"/>
        </w:rPr>
        <w:t>、乙方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w:t>
      </w:r>
      <w:r>
        <w:rPr>
          <w:rFonts w:hint="eastAsia" w:ascii="Times New Roman" w:hAnsi="Times New Roman" w:cs="Times New Roman"/>
          <w:sz w:val="24"/>
          <w:lang w:bidi="ar"/>
        </w:rPr>
        <w:t>乙方委派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ascii="Times New Roman" w:hAnsi="Times New Roman" w:cs="Times New Roman"/>
          <w:sz w:val="24"/>
          <w:lang w:bidi="ar"/>
        </w:rPr>
        <w:t>)</w:t>
      </w:r>
      <w:r>
        <w:rPr>
          <w:rFonts w:hint="eastAsia" w:ascii="Times New Roman" w:hAnsi="Times New Roman" w:cs="Times New Roman"/>
          <w:sz w:val="24"/>
          <w:lang w:bidi="ar"/>
        </w:rPr>
        <w:t>为驻工地代表</w:t>
      </w:r>
      <w:r>
        <w:rPr>
          <w:rFonts w:ascii="Times New Roman" w:hAnsi="Times New Roman" w:cs="Times New Roman"/>
          <w:sz w:val="24"/>
          <w:lang w:bidi="ar"/>
        </w:rPr>
        <w:t>/</w:t>
      </w:r>
      <w:r>
        <w:rPr>
          <w:rFonts w:hint="eastAsia" w:ascii="Times New Roman" w:hAnsi="Times New Roman" w:cs="Times New Roman"/>
          <w:sz w:val="24"/>
          <w:lang w:bidi="ar"/>
        </w:rPr>
        <w:t>项目负责人。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9.2</w:t>
      </w:r>
      <w:r>
        <w:rPr>
          <w:rFonts w:hint="eastAsia" w:ascii="Times New Roman" w:hAnsi="Times New Roman" w:cs="Times New Roman"/>
          <w:sz w:val="24"/>
          <w:lang w:bidi="ar"/>
        </w:rPr>
        <w:t>办理本工程的验收手续并承担相关费用。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9.3</w:t>
      </w:r>
      <w:r>
        <w:rPr>
          <w:rFonts w:hint="eastAsia" w:ascii="Times New Roman" w:hAnsi="Times New Roman" w:cs="Times New Roman"/>
          <w:sz w:val="24"/>
          <w:lang w:bidi="ar"/>
        </w:rPr>
        <w:t>在工程施工过程中负责与相关部门协调、沟通并承担相关费用。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9.4</w:t>
      </w:r>
      <w:r>
        <w:rPr>
          <w:rFonts w:hint="eastAsia" w:ascii="Times New Roman" w:hAnsi="Times New Roman" w:cs="Times New Roman"/>
          <w:sz w:val="24"/>
          <w:lang w:bidi="ar"/>
        </w:rPr>
        <w:t>乙方未经甲方书面同意不得将承包工程转包、分包给第三方。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9.5</w:t>
      </w:r>
      <w:r>
        <w:rPr>
          <w:rFonts w:hint="eastAsia" w:ascii="Times New Roman" w:hAnsi="Times New Roman" w:cs="Times New Roman"/>
          <w:sz w:val="24"/>
          <w:lang w:bidi="ar"/>
        </w:rPr>
        <w:t>建立健全质量管理体系，严格按照设计和施工方案</w:t>
      </w:r>
      <w:r>
        <w:rPr>
          <w:rFonts w:ascii="Times New Roman" w:hAnsi="Times New Roman" w:cs="Times New Roman"/>
          <w:sz w:val="24"/>
          <w:lang w:bidi="ar"/>
        </w:rPr>
        <w:t>(</w:t>
      </w:r>
      <w:r>
        <w:rPr>
          <w:rFonts w:hint="eastAsia" w:ascii="Times New Roman" w:hAnsi="Times New Roman" w:cs="Times New Roman"/>
          <w:sz w:val="24"/>
          <w:lang w:bidi="ar"/>
        </w:rPr>
        <w:t>图纸</w:t>
      </w:r>
      <w:r>
        <w:rPr>
          <w:rFonts w:ascii="Times New Roman" w:hAnsi="Times New Roman" w:cs="Times New Roman"/>
          <w:sz w:val="24"/>
          <w:lang w:bidi="ar"/>
        </w:rPr>
        <w:t>)</w:t>
      </w:r>
      <w:r>
        <w:rPr>
          <w:rFonts w:hint="eastAsia" w:ascii="Times New Roman" w:hAnsi="Times New Roman" w:cs="Times New Roman"/>
          <w:sz w:val="24"/>
          <w:lang w:bidi="ar"/>
        </w:rPr>
        <w:t>、施工规范、操作工艺流程、技术要求施工，对不符合质量要求的负责返工修补至符合要求为止，做好自检和工序交接检查。</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9.6</w:t>
      </w:r>
      <w:r>
        <w:rPr>
          <w:rFonts w:hint="eastAsia" w:ascii="Times New Roman" w:hAnsi="Times New Roman" w:cs="Times New Roman"/>
          <w:sz w:val="24"/>
          <w:lang w:bidi="ar"/>
        </w:rPr>
        <w:t>对所做工程和施工方法的适当性、可靠性及安全性负全责。</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9.7</w:t>
      </w:r>
      <w:r>
        <w:rPr>
          <w:rFonts w:hint="eastAsia" w:ascii="Times New Roman" w:hAnsi="Times New Roman" w:cs="Times New Roman"/>
          <w:sz w:val="24"/>
          <w:lang w:bidi="ar"/>
        </w:rPr>
        <w:t>自行承担施工过程中的意外事故或人身、财产损害责任，若由于乙方推卸责任，导致甲方不得不先行垫付赔偿费用，甲方有权从应付的工程款中直接扣抵垫付的相关费用。乙方履行本合同过程中造成己方、甲方或第三方人身、财产损害或者经济损失的，其责任全部由乙方承担并处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9.8</w:t>
      </w:r>
      <w:r>
        <w:rPr>
          <w:rFonts w:hint="eastAsia" w:ascii="Times New Roman" w:hAnsi="Times New Roman" w:cs="Times New Roman"/>
          <w:sz w:val="24"/>
          <w:lang w:bidi="ar"/>
        </w:rPr>
        <w:t>从开工之日起，直至工程竣工验收合格后将工程移交给甲方及使用单位止，乙方承担所有有关工程的材料、半成品、成品和配套设备装置的保管责任以及被盗、损坏的赔偿责任，但已办理中间书面交接手续并交付甲方的工程除外；从办理书面接收手续并交付甲方之日起，此保管责任以及被盗、损坏的赔偿责任转移至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9.9</w:t>
      </w:r>
      <w:r>
        <w:rPr>
          <w:rFonts w:hint="eastAsia" w:ascii="Times New Roman" w:hAnsi="Times New Roman" w:cs="Times New Roman"/>
          <w:sz w:val="24"/>
          <w:lang w:bidi="ar"/>
        </w:rPr>
        <w:t>乙方须按照安全生产的有关安全操作规章制度组织各项工作，建立健全安全保障体系和各项安全操作制度，制定并执行相关工程的安全专项施工方案，对各类职工认真作好各级安全教育和安全技术交底。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9.10</w:t>
      </w:r>
      <w:r>
        <w:rPr>
          <w:rFonts w:hint="eastAsia" w:ascii="Times New Roman" w:hAnsi="Times New Roman" w:cs="Times New Roman"/>
          <w:sz w:val="24"/>
          <w:lang w:bidi="ar"/>
        </w:rPr>
        <w:t>施工期间遵守甲方的质量、进度、安全和文明施工等管理规定，服从甲方及总承包单位的管理和安排，积极配合总承包工程及其他专业工程的施工，否则乙方每违约一次向甲方支付</w:t>
      </w:r>
      <w:r>
        <w:rPr>
          <w:rFonts w:ascii="Times New Roman" w:hAnsi="Times New Roman" w:cs="Times New Roman"/>
          <w:sz w:val="24"/>
          <w:lang w:bidi="ar"/>
        </w:rPr>
        <w:t>___</w:t>
      </w:r>
      <w:r>
        <w:rPr>
          <w:rFonts w:hint="eastAsia" w:ascii="Times New Roman" w:hAnsi="Times New Roman" w:cs="Times New Roman"/>
          <w:sz w:val="24"/>
          <w:lang w:bidi="ar"/>
        </w:rPr>
        <w:t>/</w:t>
      </w:r>
      <w:r>
        <w:rPr>
          <w:rFonts w:ascii="Times New Roman" w:hAnsi="Times New Roman" w:cs="Times New Roman"/>
          <w:sz w:val="24"/>
          <w:lang w:bidi="ar"/>
        </w:rPr>
        <w:t>___</w:t>
      </w:r>
      <w:r>
        <w:rPr>
          <w:rFonts w:hint="eastAsia" w:ascii="Times New Roman" w:hAnsi="Times New Roman" w:cs="Times New Roman"/>
          <w:sz w:val="24"/>
          <w:lang w:bidi="ar"/>
        </w:rPr>
        <w:t>元人民币违约金；情节严重的甲方有权提前终止本合同，并将承包工程中尚未施工的部分另行分包给第三方，乙方不得拒绝或者阻挠第三方进场施工，待整体工程完工后再办理结算。乙方承担由于工期延误及配合不及时给甲方造成的一切经济损失及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9.11</w:t>
      </w:r>
      <w:r>
        <w:rPr>
          <w:rFonts w:hint="eastAsia" w:ascii="Times New Roman" w:hAnsi="Times New Roman" w:cs="Times New Roman"/>
          <w:sz w:val="24"/>
          <w:lang w:bidi="ar"/>
        </w:rPr>
        <w:t>做好施工现场的成品保护工作，不得破坏现场其他在建及已完的专项工程、地下管线和邻近建筑物及构筑物，如有损坏应据实赔偿，同时承担由此给甲方和业主造成的一切经济损失和法律责任。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9.12</w:t>
      </w:r>
      <w:r>
        <w:rPr>
          <w:rFonts w:hint="eastAsia" w:ascii="Times New Roman" w:hAnsi="Times New Roman" w:cs="Times New Roman"/>
          <w:sz w:val="24"/>
          <w:lang w:bidi="ar"/>
        </w:rPr>
        <w:t>工程交付前乙方应清运建筑垃圾，场地清洁、平整、卫生达到甲方要求，该项费用已含在合同中，甲方不另行支付。乙方不及时清运垃圾的，甲方有权另行委托其他单位处理，发生费用可在当期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9.13</w:t>
      </w:r>
      <w:r>
        <w:rPr>
          <w:rFonts w:hint="eastAsia" w:ascii="Times New Roman" w:hAnsi="Times New Roman" w:cs="Times New Roman"/>
          <w:sz w:val="24"/>
          <w:lang w:bidi="ar"/>
        </w:rPr>
        <w:t>在合同保修期间，按国家有关规定和本合同约定履行工程质量保修义务，对属于乙方责任的工程质量问题，负责无偿修补，并承担因此给甲方及第三方造成的损失。</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9.14</w:t>
      </w:r>
      <w:r>
        <w:rPr>
          <w:rFonts w:hint="eastAsia" w:ascii="Times New Roman" w:hAnsi="Times New Roman" w:cs="Times New Roman"/>
          <w:sz w:val="24"/>
          <w:lang w:bidi="ar"/>
        </w:rPr>
        <w:t>承担本合同约定的违约责任和赔偿责任。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9.15</w:t>
      </w:r>
      <w:r>
        <w:rPr>
          <w:rFonts w:hint="eastAsia" w:ascii="Times New Roman" w:hAnsi="Times New Roman" w:cs="Times New Roman"/>
          <w:sz w:val="24"/>
          <w:lang w:bidi="ar"/>
        </w:rPr>
        <w:t>工程必须在合同约定工期内符合国家相关机构验收标准，并经相关部门验收通过。否则，乙方必须在合同约定工期内无条件免费整改至符合国家相关机构验收标准并经相关部门验收通过。</w:t>
      </w:r>
    </w:p>
    <w:p>
      <w:pPr>
        <w:spacing w:before="20" w:after="20" w:line="360" w:lineRule="auto"/>
        <w:ind w:firstLine="480" w:firstLineChars="200"/>
      </w:pPr>
      <w:r>
        <w:rPr>
          <w:rFonts w:ascii="Times New Roman" w:hAnsi="Times New Roman" w:cs="Times New Roman"/>
          <w:sz w:val="24"/>
          <w:lang w:bidi="ar"/>
        </w:rPr>
        <w:t>9.1</w:t>
      </w:r>
      <w:r>
        <w:rPr>
          <w:rFonts w:hint="eastAsia" w:ascii="Times New Roman" w:hAnsi="Times New Roman" w:cs="Times New Roman"/>
          <w:sz w:val="24"/>
          <w:lang w:bidi="ar"/>
        </w:rPr>
        <w:t>6乙方须配合甲方完成机动车停车场库测量测绘，并通过交警总队、路政及市交通委等相关政府部门验收，由此可能按验收版图纸先行进场施工，并在通过上述验收后，二次进场进行部分拆除、清洗，再按实施版图纸要求重新施工，并通过甲方交付验收，完成上述工作所可能产生的一切费用均包含在合同金额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10</w:t>
      </w:r>
      <w:r>
        <w:rPr>
          <w:rFonts w:hint="eastAsia" w:ascii="Times New Roman" w:hAnsi="Times New Roman" w:cs="Times New Roman"/>
          <w:bCs/>
          <w:kern w:val="44"/>
          <w:sz w:val="24"/>
        </w:rPr>
        <w:t>、工程质量及其管理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10.1</w:t>
      </w:r>
      <w:r>
        <w:rPr>
          <w:rFonts w:hint="eastAsia" w:ascii="Times New Roman" w:hAnsi="Times New Roman" w:cs="Times New Roman"/>
          <w:sz w:val="24"/>
          <w:lang w:bidi="ar"/>
        </w:rPr>
        <w:t>乙方必须严格按照甲方确认的施工方案、施工组织设计及国家现行施工、验收规范、工程质量检验评定标准和技术要求组织施工，严格把好每道工序的质量关，确保工程质量达到国家及行业的工程验收规范标准。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10.2</w:t>
      </w:r>
      <w:r>
        <w:rPr>
          <w:rFonts w:hint="eastAsia" w:ascii="Times New Roman" w:hAnsi="Times New Roman" w:cs="Times New Roman"/>
          <w:sz w:val="24"/>
          <w:lang w:bidi="ar"/>
        </w:rPr>
        <w:t>甲方在施工现场对工程实行全过程监理、检查，发现乙方施工不符合技术质量和安全生产要求的，有权通知乙方暂停、改正、返工直至合格，因此增加的费用及工期延误责任由乙方承担。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10.3</w:t>
      </w:r>
      <w:r>
        <w:rPr>
          <w:rFonts w:hint="eastAsia" w:ascii="Times New Roman" w:hAnsi="Times New Roman" w:cs="Times New Roman"/>
          <w:sz w:val="24"/>
          <w:lang w:bidi="ar"/>
        </w:rPr>
        <w:t>隐蔽工程隐蔽前乙方自检，自检合格后书面通知甲方及监理单位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验收，如验收不合格，乙方在限定时间内整修、返工后重新验收，直至验收合格，整修、返工费用及由此引起的工期延误责任由乙方承担。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10.4</w:t>
      </w:r>
      <w:r>
        <w:rPr>
          <w:rFonts w:hint="eastAsia" w:ascii="Times New Roman" w:hAnsi="Times New Roman" w:cs="Times New Roman"/>
          <w:sz w:val="24"/>
          <w:lang w:bidi="ar"/>
        </w:rPr>
        <w:t>在进行与已交付工程有关联的部位施工前，乙方应向甲方提出书面联系单，经甲方同意后方可施工，否则，乙方按每次</w:t>
      </w:r>
      <w:r>
        <w:rPr>
          <w:rFonts w:ascii="Times New Roman" w:hAnsi="Times New Roman" w:cs="Times New Roman"/>
          <w:sz w:val="24"/>
          <w:u w:val="single"/>
          <w:lang w:bidi="ar"/>
        </w:rPr>
        <w:t>_5000_</w:t>
      </w:r>
      <w:bookmarkStart w:id="69" w:name="_Hlk118797886"/>
      <w:r>
        <w:rPr>
          <w:rFonts w:hint="eastAsia" w:ascii="Times New Roman" w:hAnsi="Times New Roman" w:cs="Times New Roman"/>
          <w:sz w:val="24"/>
          <w:lang w:bidi="ar"/>
        </w:rPr>
        <w:t>元人民币</w:t>
      </w:r>
      <w:bookmarkEnd w:id="69"/>
      <w:r>
        <w:rPr>
          <w:rFonts w:hint="eastAsia" w:ascii="Times New Roman" w:hAnsi="Times New Roman" w:cs="Times New Roman"/>
          <w:sz w:val="24"/>
          <w:lang w:bidi="ar"/>
        </w:rPr>
        <w:t>向甲方支付违约金。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10.5</w:t>
      </w:r>
      <w:r>
        <w:rPr>
          <w:rFonts w:hint="eastAsia" w:ascii="Times New Roman" w:hAnsi="Times New Roman" w:cs="Times New Roman"/>
          <w:sz w:val="24"/>
          <w:lang w:bidi="ar"/>
        </w:rPr>
        <w:t>乙方采购的所有材料均应达到国家规范</w:t>
      </w:r>
      <w:r>
        <w:rPr>
          <w:rFonts w:ascii="Times New Roman" w:hAnsi="Times New Roman" w:cs="Times New Roman"/>
          <w:sz w:val="24"/>
          <w:lang w:bidi="ar"/>
        </w:rPr>
        <w:t>“</w:t>
      </w:r>
      <w:r>
        <w:rPr>
          <w:rFonts w:hint="eastAsia" w:ascii="Times New Roman" w:hAnsi="Times New Roman" w:cs="Times New Roman"/>
          <w:sz w:val="24"/>
          <w:lang w:bidi="ar"/>
        </w:rPr>
        <w:t>合格</w:t>
      </w:r>
      <w:r>
        <w:rPr>
          <w:rFonts w:ascii="Times New Roman" w:hAnsi="Times New Roman" w:cs="Times New Roman"/>
          <w:sz w:val="24"/>
          <w:lang w:bidi="ar"/>
        </w:rPr>
        <w:t>”</w:t>
      </w:r>
      <w:r>
        <w:rPr>
          <w:rFonts w:hint="eastAsia" w:ascii="Times New Roman" w:hAnsi="Times New Roman" w:cs="Times New Roman"/>
          <w:sz w:val="24"/>
          <w:lang w:bidi="ar"/>
        </w:rPr>
        <w:t>标准以上。凡由乙方采购的材料，如不符合质量要求或规格有差异，应禁止使用。乙方在施工中存在偷工减料，使用不合格的建筑材料、建筑构件和设备，或者建筑材料、构件和设备与合同约定品牌不符或与报验品牌参数不符，每发现一次或一处，乙方向甲方支付</w:t>
      </w:r>
      <w:r>
        <w:rPr>
          <w:rFonts w:ascii="Times New Roman" w:hAnsi="Times New Roman" w:cs="Times New Roman"/>
          <w:sz w:val="24"/>
          <w:u w:val="single"/>
          <w:lang w:bidi="ar"/>
        </w:rPr>
        <w:t>_2000_</w:t>
      </w:r>
      <w:r>
        <w:rPr>
          <w:rFonts w:hint="eastAsia" w:ascii="Times New Roman" w:hAnsi="Times New Roman" w:cs="Times New Roman"/>
          <w:sz w:val="24"/>
          <w:lang w:bidi="ar"/>
        </w:rPr>
        <w:t>元人民币的违约金，如违约金不足以弥补甲方损失的，不足部分由乙方承担，同时乙方负责返工、修理达到合同约定标准。如乙方拒不整改，甲方有权委托其他单位进行整改，由此产生的相关费用及损失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、第三方审计机构共同确认后，从乙方当期工程进度款中扣除，延误的工期不予顺延，且乙方向甲方支付合同金额</w:t>
      </w:r>
      <w:r>
        <w:rPr>
          <w:rFonts w:ascii="Times New Roman" w:hAnsi="Times New Roman" w:cs="Times New Roman"/>
          <w:sz w:val="24"/>
          <w:u w:val="single"/>
          <w:lang w:bidi="ar"/>
        </w:rPr>
        <w:t>__2__</w:t>
      </w:r>
      <w:r>
        <w:rPr>
          <w:rFonts w:ascii="Times New Roman" w:hAnsi="Times New Roman" w:cs="Times New Roman"/>
          <w:sz w:val="24"/>
          <w:lang w:bidi="ar"/>
        </w:rPr>
        <w:t>%</w:t>
      </w:r>
      <w:r>
        <w:rPr>
          <w:rFonts w:hint="eastAsia" w:ascii="Times New Roman" w:hAnsi="Times New Roman" w:cs="Times New Roman"/>
          <w:sz w:val="24"/>
          <w:lang w:bidi="ar"/>
        </w:rPr>
        <w:t>的违约金。对于无法整改的，甲方按其已完合格材料设备相应质量水平结算，且乙方向甲方支付</w:t>
      </w:r>
      <w:r>
        <w:rPr>
          <w:rFonts w:ascii="Times New Roman" w:hAnsi="Times New Roman" w:cs="Times New Roman"/>
          <w:sz w:val="24"/>
          <w:u w:val="single"/>
          <w:lang w:bidi="ar"/>
        </w:rPr>
        <w:t>_10,000_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10.6</w:t>
      </w:r>
      <w:r>
        <w:rPr>
          <w:rFonts w:hint="eastAsia" w:ascii="Times New Roman" w:hAnsi="Times New Roman" w:cs="Times New Roman"/>
          <w:sz w:val="24"/>
          <w:lang w:bidi="ar"/>
        </w:rPr>
        <w:t>如因乙方供应材料不能满足甲方要求，在双方协商不通的情况下甲方有权另行组织采购，所发生采购费加</w:t>
      </w:r>
      <w:r>
        <w:rPr>
          <w:rFonts w:ascii="Times New Roman" w:hAnsi="Times New Roman" w:cs="Times New Roman"/>
          <w:sz w:val="24"/>
          <w:lang w:bidi="ar"/>
        </w:rPr>
        <w:t>20%</w:t>
      </w:r>
      <w:r>
        <w:rPr>
          <w:rFonts w:hint="eastAsia" w:ascii="Times New Roman" w:hAnsi="Times New Roman" w:cs="Times New Roman"/>
          <w:sz w:val="24"/>
          <w:lang w:bidi="ar"/>
        </w:rPr>
        <w:t>管理费后由甲方从乙方应付工程进度款中扣除。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11</w:t>
      </w:r>
      <w:r>
        <w:rPr>
          <w:rFonts w:hint="eastAsia" w:ascii="Times New Roman" w:hAnsi="Times New Roman" w:cs="Times New Roman"/>
          <w:bCs/>
          <w:kern w:val="44"/>
          <w:sz w:val="24"/>
        </w:rPr>
        <w:t>、工程竣工验收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11.1</w:t>
      </w:r>
      <w:r>
        <w:rPr>
          <w:rFonts w:hint="eastAsia" w:ascii="Times New Roman" w:hAnsi="Times New Roman" w:cs="Times New Roman"/>
          <w:sz w:val="24"/>
          <w:lang w:bidi="ar"/>
        </w:rPr>
        <w:t>竣工验收程序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乙方向监理单位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报送竣工验收申请报告，监理单位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应在收到竣工验收申请报告后</w:t>
      </w:r>
      <w:r>
        <w:rPr>
          <w:rFonts w:ascii="Times New Roman" w:hAnsi="Times New Roman" w:cs="Times New Roman"/>
          <w:sz w:val="24"/>
          <w:lang w:bidi="ar"/>
        </w:rPr>
        <w:t>14</w:t>
      </w:r>
      <w:r>
        <w:rPr>
          <w:rFonts w:hint="eastAsia" w:ascii="Times New Roman" w:hAnsi="Times New Roman" w:cs="Times New Roman"/>
          <w:sz w:val="24"/>
          <w:lang w:bidi="ar"/>
        </w:rPr>
        <w:t>天内完成审查并报送甲方。监理单位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审查后认为尚不具备验收条件的，应通知乙方在竣工验收前乙方还需完成的工作内容，乙方应在完成监理单位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通知的全部工作内容后，再次提交竣工验收申请报告。</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审查后认为已具备竣工验收条件的，应将竣工验收申请报告提交甲方，甲方应在收到经监理单位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审核的竣工验收申请报告后</w:t>
      </w:r>
      <w:r>
        <w:rPr>
          <w:rFonts w:ascii="Times New Roman" w:hAnsi="Times New Roman" w:cs="Times New Roman"/>
          <w:sz w:val="24"/>
          <w:lang w:bidi="ar"/>
        </w:rPr>
        <w:t>28</w:t>
      </w:r>
      <w:r>
        <w:rPr>
          <w:rFonts w:hint="eastAsia" w:ascii="Times New Roman" w:hAnsi="Times New Roman" w:cs="Times New Roman"/>
          <w:sz w:val="24"/>
          <w:lang w:bidi="ar"/>
        </w:rPr>
        <w:t>天内审批完毕并组织监理单位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、总承包单位、乙方、设计人等相关单位完成竣工验收。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竣工验收不合格的，监理单位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应按照验收意见发出指示，要求乙方对不合格工程返工、修复或采取其他补救措施，由此增加的费用和</w:t>
      </w:r>
      <w:r>
        <w:rPr>
          <w:rFonts w:ascii="Times New Roman" w:hAnsi="Times New Roman" w:cs="Times New Roman"/>
          <w:sz w:val="24"/>
          <w:lang w:bidi="ar"/>
        </w:rPr>
        <w:t>(</w:t>
      </w:r>
      <w:r>
        <w:rPr>
          <w:rFonts w:hint="eastAsia" w:ascii="Times New Roman" w:hAnsi="Times New Roman" w:cs="Times New Roman"/>
          <w:sz w:val="24"/>
          <w:lang w:bidi="ar"/>
        </w:rPr>
        <w:t>或</w:t>
      </w:r>
      <w:r>
        <w:rPr>
          <w:rFonts w:ascii="Times New Roman" w:hAnsi="Times New Roman" w:cs="Times New Roman"/>
          <w:sz w:val="24"/>
          <w:lang w:bidi="ar"/>
        </w:rPr>
        <w:t>)</w:t>
      </w:r>
      <w:r>
        <w:rPr>
          <w:rFonts w:hint="eastAsia" w:ascii="Times New Roman" w:hAnsi="Times New Roman" w:cs="Times New Roman"/>
          <w:sz w:val="24"/>
          <w:lang w:bidi="ar"/>
        </w:rPr>
        <w:t>延误的工期由乙方承担。乙方在完成不合格工程的返工、修复或采取其他补救措施后，应重新提交竣工验收申请报告，并按本项约定的程序重新进行验收。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11.2</w:t>
      </w:r>
      <w:r>
        <w:rPr>
          <w:rFonts w:hint="eastAsia" w:ascii="Times New Roman" w:hAnsi="Times New Roman" w:cs="Times New Roman"/>
          <w:sz w:val="24"/>
          <w:lang w:bidi="ar"/>
        </w:rPr>
        <w:t>竣工日期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工程经竣工验收合格的，以竣工验收合格之日为实际竣工日期；因甲方原因，未在监理单位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收到乙方提交的竣工验收申请报告</w:t>
      </w:r>
      <w:r>
        <w:rPr>
          <w:rFonts w:ascii="Times New Roman" w:hAnsi="Times New Roman" w:cs="Times New Roman"/>
          <w:sz w:val="24"/>
          <w:lang w:bidi="ar"/>
        </w:rPr>
        <w:t>42</w:t>
      </w:r>
      <w:r>
        <w:rPr>
          <w:rFonts w:hint="eastAsia" w:ascii="Times New Roman" w:hAnsi="Times New Roman" w:cs="Times New Roman"/>
          <w:sz w:val="24"/>
          <w:lang w:bidi="ar"/>
        </w:rPr>
        <w:t>天内完成竣工验收，以期满之日为实际竣工日期；工程未经竣工验收，甲方擅自使用的，以转移占有工程之日为实际竣工日期。</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11.3</w:t>
      </w:r>
      <w:r>
        <w:rPr>
          <w:rFonts w:hint="eastAsia" w:ascii="Times New Roman" w:hAnsi="Times New Roman" w:cs="Times New Roman"/>
          <w:sz w:val="24"/>
          <w:lang w:bidi="ar"/>
        </w:rPr>
        <w:t>移交、接收全部与部分工程</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乙方向甲方移交工程的期限：</w:t>
      </w:r>
      <w:r>
        <w:rPr>
          <w:rFonts w:hint="eastAsia" w:ascii="Times New Roman" w:hAnsi="Times New Roman" w:cs="Times New Roman"/>
          <w:sz w:val="24"/>
          <w:u w:val="single"/>
          <w:lang w:bidi="ar"/>
        </w:rPr>
        <w:t>乙方完工后应在5个日历天内向总承包单位移交工程，并办理移交手续</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甲方未按本合同约定接收全部或部分工程的，违约金的计算方法为：无。</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乙方未按时移交工程的，违约金的计算方法为：每延迟一天，每日违约金按照合同总价的</w:t>
      </w:r>
      <w:r>
        <w:rPr>
          <w:rFonts w:ascii="Times New Roman" w:hAnsi="Times New Roman" w:cs="Times New Roman"/>
          <w:sz w:val="24"/>
          <w:lang w:bidi="ar"/>
        </w:rPr>
        <w:t>1</w:t>
      </w:r>
      <w:r>
        <w:rPr>
          <w:rFonts w:hint="eastAsia" w:ascii="Times New Roman" w:hAnsi="Times New Roman" w:cs="Times New Roman"/>
          <w:sz w:val="24"/>
          <w:lang w:bidi="ar"/>
        </w:rPr>
        <w:t>％计取，还应赔偿因此而给甲方造成的经济损失，相关损失包括但不限于因延期交房所支付给购房者的索赔等。</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12</w:t>
      </w:r>
      <w:r>
        <w:rPr>
          <w:rFonts w:hint="eastAsia" w:ascii="Times New Roman" w:hAnsi="Times New Roman" w:cs="Times New Roman"/>
          <w:bCs/>
          <w:kern w:val="44"/>
          <w:sz w:val="24"/>
        </w:rPr>
        <w:t>、保修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12.1</w:t>
      </w:r>
      <w:r>
        <w:rPr>
          <w:rFonts w:hint="eastAsia" w:ascii="Times New Roman" w:hAnsi="Times New Roman" w:cs="Times New Roman"/>
          <w:sz w:val="24"/>
          <w:lang w:bidi="ar"/>
        </w:rPr>
        <w:t>质量保修期限：</w:t>
      </w:r>
      <w:r>
        <w:rPr>
          <w:rFonts w:ascii="Times New Roman" w:hAnsi="Times New Roman" w:cs="Times New Roman"/>
          <w:sz w:val="24"/>
          <w:lang w:bidi="ar"/>
        </w:rPr>
        <w:t>___</w:t>
      </w:r>
      <w:r>
        <w:rPr>
          <w:rFonts w:hint="eastAsia" w:ascii="Times New Roman" w:hAnsi="Times New Roman" w:cs="Times New Roman"/>
          <w:sz w:val="24"/>
          <w:u w:val="single"/>
          <w:lang w:bidi="ar"/>
        </w:rPr>
        <w:t>2</w:t>
      </w:r>
      <w:r>
        <w:rPr>
          <w:rFonts w:ascii="Times New Roman" w:hAnsi="Times New Roman" w:cs="Times New Roman"/>
          <w:sz w:val="24"/>
          <w:lang w:bidi="ar"/>
        </w:rPr>
        <w:t>___</w:t>
      </w:r>
      <w:r>
        <w:rPr>
          <w:rFonts w:hint="eastAsia" w:ascii="Times New Roman" w:hAnsi="Times New Roman" w:cs="Times New Roman"/>
          <w:sz w:val="24"/>
          <w:lang w:bidi="ar"/>
        </w:rPr>
        <w:t>年</w:t>
      </w:r>
      <w:r>
        <w:rPr>
          <w:rFonts w:ascii="Times New Roman" w:hAnsi="Times New Roman" w:cs="Times New Roman"/>
          <w:sz w:val="24"/>
          <w:lang w:bidi="ar"/>
        </w:rPr>
        <w:t>(</w:t>
      </w:r>
      <w:r>
        <w:rPr>
          <w:rFonts w:hint="eastAsia" w:ascii="Times New Roman" w:hAnsi="Times New Roman" w:cs="Times New Roman"/>
          <w:sz w:val="24"/>
          <w:lang w:bidi="ar"/>
        </w:rPr>
        <w:t>从工程验收合格并移交甲方之日起算</w:t>
      </w:r>
      <w:r>
        <w:rPr>
          <w:rFonts w:ascii="Times New Roman" w:hAnsi="Times New Roman" w:cs="Times New Roman"/>
          <w:sz w:val="24"/>
          <w:lang w:bidi="ar"/>
        </w:rPr>
        <w:t>)</w:t>
      </w:r>
      <w:r>
        <w:rPr>
          <w:rFonts w:hint="eastAsia" w:ascii="Times New Roman" w:hAnsi="Times New Roman" w:cs="Times New Roman"/>
          <w:sz w:val="24"/>
          <w:lang w:bidi="ar"/>
        </w:rPr>
        <w:t>，详见工程质量保修书。在质量保修期内，乙方应当根据有关法律规定以及合同约定承担保修责任。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12.2</w:t>
      </w:r>
      <w:r>
        <w:rPr>
          <w:rFonts w:hint="eastAsia" w:ascii="Times New Roman" w:hAnsi="Times New Roman" w:cs="Times New Roman"/>
          <w:sz w:val="24"/>
          <w:lang w:bidi="ar"/>
        </w:rPr>
        <w:t>甲方未经竣工验收擅自使用工程的，保修期自转移占有之日起算。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12.3</w:t>
      </w:r>
      <w:r>
        <w:rPr>
          <w:rFonts w:hint="eastAsia" w:ascii="Times New Roman" w:hAnsi="Times New Roman" w:cs="Times New Roman"/>
          <w:sz w:val="24"/>
          <w:lang w:bidi="ar"/>
        </w:rPr>
        <w:t>保修期内出现保修事项，乙方应当在接到甲方通知后，在约定时间内履行保修责任。逾期不履行保修义务或者修复不能满足甲方要求时，甲方有权聘请第三方修复，乙方承担违约责任及甲方支付给第三方的费用，甲方有权从乙方质保金中扣除。</w:t>
      </w:r>
    </w:p>
    <w:p>
      <w:pPr>
        <w:autoSpaceDE w:val="0"/>
        <w:autoSpaceDN w:val="0"/>
        <w:adjustRightInd w:val="0"/>
        <w:spacing w:line="460" w:lineRule="exact"/>
        <w:ind w:firstLine="480" w:firstLineChars="200"/>
        <w:rPr>
          <w:rFonts w:ascii="Times New Roman" w:hAnsi="Times New Roman" w:cs="Times New Roman"/>
          <w:sz w:val="24"/>
          <w:lang w:bidi="ar"/>
        </w:rPr>
      </w:pPr>
      <w:r>
        <w:rPr>
          <w:rFonts w:ascii="Times New Roman" w:hAnsi="Times New Roman" w:cs="Times New Roman"/>
          <w:sz w:val="24"/>
          <w:lang w:bidi="ar"/>
        </w:rPr>
        <w:t xml:space="preserve">12.4 </w:t>
      </w:r>
      <w:r>
        <w:rPr>
          <w:rFonts w:hint="eastAsia" w:ascii="Times New Roman" w:hAnsi="Times New Roman" w:cs="Times New Roman"/>
          <w:sz w:val="24"/>
          <w:lang w:bidi="ar"/>
        </w:rPr>
        <w:t>修复费用</w:t>
      </w:r>
    </w:p>
    <w:p>
      <w:pPr>
        <w:snapToGrid w:val="0"/>
        <w:spacing w:line="460" w:lineRule="exact"/>
        <w:ind w:firstLine="484" w:firstLineChars="202"/>
        <w:rPr>
          <w:rFonts w:ascii="Times New Roman" w:hAnsi="Times New Roman" w:cs="Times New Roman"/>
          <w:sz w:val="24"/>
          <w:lang w:bidi="ar"/>
        </w:rPr>
      </w:pPr>
      <w:r>
        <w:rPr>
          <w:rFonts w:hint="eastAsia" w:ascii="Times New Roman" w:hAnsi="Times New Roman" w:cs="Times New Roman"/>
          <w:sz w:val="24"/>
          <w:lang w:bidi="ar"/>
        </w:rPr>
        <w:t>因乙方原因造成工程的缺陷、损坏由乙方进行修复，并承担修复的费用，因其他原因造成工程的缺陷、损坏，可以委托乙方修复，甲方应承担修复的费用，因工程的缺陷、损坏造成的人身伤害和财产损失由责任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13</w:t>
      </w:r>
      <w:r>
        <w:rPr>
          <w:rFonts w:hint="eastAsia" w:ascii="Times New Roman" w:hAnsi="Times New Roman" w:cs="Times New Roman"/>
          <w:bCs/>
          <w:kern w:val="44"/>
          <w:sz w:val="24"/>
        </w:rPr>
        <w:t>、违约责任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13.1</w:t>
      </w:r>
      <w:r>
        <w:rPr>
          <w:rFonts w:hint="eastAsia" w:ascii="Times New Roman" w:hAnsi="Times New Roman" w:cs="Times New Roman"/>
          <w:sz w:val="24"/>
          <w:lang w:bidi="ar"/>
        </w:rPr>
        <w:t>因乙方原因导致工期延误的，每迟延一日竣工的，向甲方支付合同金额</w:t>
      </w:r>
      <w:r>
        <w:rPr>
          <w:rFonts w:ascii="Times New Roman" w:hAnsi="Times New Roman" w:cs="Times New Roman"/>
          <w:sz w:val="24"/>
          <w:lang w:bidi="ar"/>
        </w:rPr>
        <w:t>1%/</w:t>
      </w:r>
      <w:r>
        <w:rPr>
          <w:rFonts w:hint="eastAsia" w:ascii="Times New Roman" w:hAnsi="Times New Roman" w:cs="Times New Roman"/>
          <w:sz w:val="24"/>
          <w:lang w:bidi="ar"/>
        </w:rPr>
        <w:t>日的违约金，迟延达五日的，甲方有权解除合同，乙方需支付合同金额</w:t>
      </w:r>
      <w:r>
        <w:rPr>
          <w:rFonts w:ascii="Times New Roman" w:hAnsi="Times New Roman" w:cs="Times New Roman"/>
          <w:sz w:val="24"/>
          <w:lang w:bidi="ar"/>
        </w:rPr>
        <w:t>20%</w:t>
      </w:r>
      <w:r>
        <w:rPr>
          <w:rFonts w:hint="eastAsia" w:ascii="Times New Roman" w:hAnsi="Times New Roman" w:cs="Times New Roman"/>
          <w:sz w:val="24"/>
          <w:lang w:bidi="ar"/>
        </w:rPr>
        <w:t>的违约金，违约金不足以弥补甲方损失的，不足部分由乙方承担，且甲方有权另行委托其他单位施工，对应工程款、所产生的一切费用及损失由乙方承担。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13.2</w:t>
      </w:r>
      <w:r>
        <w:rPr>
          <w:rFonts w:hint="eastAsia" w:ascii="Times New Roman" w:hAnsi="Times New Roman" w:cs="Times New Roman"/>
          <w:sz w:val="24"/>
          <w:lang w:bidi="ar"/>
        </w:rPr>
        <w:t>乙方未按本合同其他约定履行的，乙方应向甲方支付合同金额</w:t>
      </w:r>
      <w:r>
        <w:rPr>
          <w:rFonts w:ascii="Times New Roman" w:hAnsi="Times New Roman" w:cs="Times New Roman"/>
          <w:sz w:val="24"/>
          <w:lang w:bidi="ar"/>
        </w:rPr>
        <w:t>5%/</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13.3</w:t>
      </w:r>
      <w:r>
        <w:rPr>
          <w:rFonts w:hint="eastAsia" w:ascii="Times New Roman" w:hAnsi="Times New Roman" w:cs="Times New Roman"/>
          <w:sz w:val="24"/>
          <w:lang w:bidi="ar"/>
        </w:rPr>
        <w:t>本合同约定的违约金、赔偿金甲方有权从乙方工程款进度款中直接扣除。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13.4</w:t>
      </w:r>
      <w:r>
        <w:rPr>
          <w:rFonts w:hint="eastAsia" w:ascii="Times New Roman" w:hAnsi="Times New Roman" w:cs="Times New Roman"/>
          <w:sz w:val="24"/>
          <w:lang w:bidi="ar"/>
        </w:rPr>
        <w:t>乙方应及时支付施工人员工资。若乙方的施工人员对甲方产生不良影响的</w:t>
      </w:r>
      <w:r>
        <w:rPr>
          <w:rFonts w:ascii="Times New Roman" w:hAnsi="Times New Roman" w:cs="Times New Roman"/>
          <w:sz w:val="24"/>
          <w:lang w:bidi="ar"/>
        </w:rPr>
        <w:t>(</w:t>
      </w:r>
      <w:r>
        <w:rPr>
          <w:rFonts w:hint="eastAsia" w:ascii="Times New Roman" w:hAnsi="Times New Roman" w:cs="Times New Roman"/>
          <w:sz w:val="24"/>
          <w:lang w:bidi="ar"/>
        </w:rPr>
        <w:t>如罢工、干扰施工或扣押、围攻、殴打甲方人员、滞留甲方办公场所或销售现场、上访、诉讼、仲裁等</w:t>
      </w:r>
      <w:r>
        <w:rPr>
          <w:rFonts w:ascii="Times New Roman" w:hAnsi="Times New Roman" w:cs="Times New Roman"/>
          <w:sz w:val="24"/>
          <w:lang w:bidi="ar"/>
        </w:rPr>
        <w:t>)</w:t>
      </w:r>
      <w:r>
        <w:rPr>
          <w:rFonts w:hint="eastAsia" w:ascii="Times New Roman" w:hAnsi="Times New Roman" w:cs="Times New Roman"/>
          <w:sz w:val="24"/>
          <w:lang w:bidi="ar"/>
        </w:rPr>
        <w:t>，乙方承担</w:t>
      </w:r>
      <w:r>
        <w:rPr>
          <w:rFonts w:ascii="Times New Roman" w:hAnsi="Times New Roman" w:cs="Times New Roman"/>
          <w:sz w:val="24"/>
          <w:lang w:bidi="ar"/>
        </w:rPr>
        <w:t>2</w:t>
      </w:r>
      <w:r>
        <w:rPr>
          <w:rFonts w:hint="eastAsia" w:ascii="Times New Roman" w:hAnsi="Times New Roman" w:cs="Times New Roman"/>
          <w:sz w:val="24"/>
          <w:lang w:bidi="ar"/>
        </w:rPr>
        <w:t>万元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13.5</w:t>
      </w:r>
      <w:r>
        <w:rPr>
          <w:rFonts w:hint="eastAsia" w:ascii="Times New Roman" w:hAnsi="Times New Roman" w:cs="Times New Roman"/>
          <w:sz w:val="24"/>
          <w:lang w:bidi="ar"/>
        </w:rPr>
        <w:t>乙方将其承包的工程转包给他人的，或者违法分包的，甲方有权解除合同，乙方向甲方支付合同价款</w:t>
      </w:r>
      <w:r>
        <w:rPr>
          <w:rFonts w:ascii="Times New Roman" w:hAnsi="Times New Roman" w:cs="Times New Roman"/>
          <w:sz w:val="24"/>
          <w:lang w:bidi="ar"/>
        </w:rPr>
        <w:t>20%</w:t>
      </w:r>
      <w:r>
        <w:rPr>
          <w:rFonts w:hint="eastAsia" w:ascii="Times New Roman" w:hAnsi="Times New Roman" w:cs="Times New Roman"/>
          <w:sz w:val="24"/>
          <w:lang w:bidi="ar"/>
        </w:rPr>
        <w:t>的违约金并按照甲方的要求限期离场。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13.6</w:t>
      </w:r>
      <w:r>
        <w:rPr>
          <w:rFonts w:hint="eastAsia" w:ascii="Times New Roman" w:hAnsi="Times New Roman" w:cs="Times New Roman"/>
          <w:sz w:val="24"/>
          <w:lang w:bidi="ar"/>
        </w:rPr>
        <w:t>若政府相关部门或法院要求甲方以任何形式向施工工人垫付工资或费用，甲方有权向乙方收取相当于代垫金额</w:t>
      </w:r>
      <w:r>
        <w:rPr>
          <w:rFonts w:ascii="Times New Roman" w:hAnsi="Times New Roman" w:cs="Times New Roman"/>
          <w:sz w:val="24"/>
          <w:lang w:bidi="ar"/>
        </w:rPr>
        <w:t>20%</w:t>
      </w:r>
      <w:r>
        <w:rPr>
          <w:rFonts w:hint="eastAsia" w:ascii="Times New Roman" w:hAnsi="Times New Roman" w:cs="Times New Roman"/>
          <w:sz w:val="24"/>
          <w:lang w:bidi="ar"/>
        </w:rPr>
        <w:t>的管理费。</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13.7若乙方未能通过政府主管部门验收，除承担合同约定的相关违约责任外，乙方还需承担10万元违约金，并承担由此给甲方造成的全部损失，同时甲方有权解除合同。。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14</w:t>
      </w:r>
      <w:r>
        <w:rPr>
          <w:rFonts w:hint="eastAsia" w:ascii="Times New Roman" w:hAnsi="Times New Roman" w:cs="Times New Roman"/>
          <w:bCs/>
          <w:kern w:val="44"/>
          <w:sz w:val="24"/>
        </w:rPr>
        <w:t>、合同争议解决方式</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本合同在履行过程中发生的争议由双方协商解决，协商不成的可向项目所在地人民法院提起诉讼。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15</w:t>
      </w:r>
      <w:r>
        <w:rPr>
          <w:rFonts w:hint="eastAsia" w:ascii="Times New Roman" w:hAnsi="Times New Roman" w:cs="Times New Roman"/>
          <w:bCs/>
          <w:kern w:val="44"/>
          <w:sz w:val="24"/>
        </w:rPr>
        <w:t>、履约保证金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15.1 </w:t>
      </w:r>
      <w:r>
        <w:rPr>
          <w:rFonts w:hint="eastAsia" w:ascii="Times New Roman" w:hAnsi="Times New Roman" w:cs="Times New Roman"/>
          <w:sz w:val="24"/>
        </w:rPr>
        <w:t>是否提供履约</w:t>
      </w:r>
      <w:r>
        <w:rPr>
          <w:rFonts w:hint="eastAsia" w:ascii="Times New Roman" w:hAnsi="Times New Roman" w:cs="Times New Roman"/>
          <w:bCs/>
          <w:kern w:val="44"/>
          <w:sz w:val="24"/>
        </w:rPr>
        <w:t>保证金</w:t>
      </w:r>
      <w:r>
        <w:rPr>
          <w:rFonts w:hint="eastAsia"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是</w:t>
      </w:r>
      <w:r>
        <w:rPr>
          <w:rFonts w:ascii="Times New Roman" w:hAnsi="Times New Roman" w:cs="Times New Roman"/>
          <w:sz w:val="24"/>
          <w:u w:val="single"/>
        </w:rPr>
        <w:t xml:space="preserve">   </w:t>
      </w:r>
      <w:r>
        <w:rPr>
          <w:rFonts w:hint="eastAsia" w:ascii="Times New Roman" w:hAnsi="Times New Roman" w:cs="Times New Roman"/>
          <w:sz w:val="24"/>
        </w:rPr>
        <w:t>。</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15.2 </w:t>
      </w:r>
      <w:r>
        <w:rPr>
          <w:rFonts w:hint="eastAsia" w:ascii="Times New Roman" w:hAnsi="Times New Roman" w:cs="Times New Roman"/>
          <w:sz w:val="24"/>
        </w:rPr>
        <w:t>履约保证金金额：</w:t>
      </w:r>
      <w:r>
        <w:rPr>
          <w:rFonts w:ascii="Times New Roman" w:hAnsi="Times New Roman" w:cs="Times New Roman"/>
          <w:sz w:val="24"/>
          <w:u w:val="single"/>
        </w:rPr>
        <w:t xml:space="preserve">         </w:t>
      </w:r>
      <w:r>
        <w:rPr>
          <w:rFonts w:hint="eastAsia" w:ascii="Times New Roman" w:hAnsi="Times New Roman" w:cs="Times New Roman"/>
          <w:sz w:val="24"/>
        </w:rPr>
        <w:t>万元；形式：</w:t>
      </w:r>
      <w:r>
        <w:rPr>
          <w:rFonts w:hint="eastAsia" w:ascii="Times New Roman" w:hAnsi="Times New Roman" w:cs="Times New Roman"/>
          <w:sz w:val="24"/>
          <w:u w:val="single"/>
        </w:rPr>
        <w:t>银行保函或现金</w:t>
      </w:r>
      <w:r>
        <w:rPr>
          <w:rFonts w:hint="eastAsia" w:ascii="Times New Roman" w:hAnsi="Times New Roman" w:cs="Times New Roman"/>
          <w:sz w:val="24"/>
        </w:rPr>
        <w:t>，履约保证金视有无违约情况，在本工程竣工验收合格且结算完成后一个月内一次性无息退还履约保证金（扣除相应违约金）。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15.3 </w:t>
      </w:r>
      <w:r>
        <w:rPr>
          <w:rFonts w:hint="eastAsia" w:ascii="Times New Roman" w:hAnsi="Times New Roman" w:cs="Times New Roman"/>
          <w:sz w:val="24"/>
        </w:rPr>
        <w:t>采用银行保函形式的，如遇工程延期，则乙方须在银行保函到期前一个月及时提供新的银行保函。</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16</w:t>
      </w:r>
      <w:r>
        <w:rPr>
          <w:rFonts w:hint="eastAsia" w:ascii="Times New Roman" w:hAnsi="Times New Roman" w:cs="Times New Roman"/>
          <w:bCs/>
          <w:kern w:val="44"/>
          <w:sz w:val="24"/>
        </w:rPr>
        <w:t>、不可抗力</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16.1 </w:t>
      </w:r>
      <w:r>
        <w:rPr>
          <w:rFonts w:hint="eastAsia" w:ascii="Times New Roman" w:hAnsi="Times New Roman" w:cs="Times New Roman"/>
          <w:sz w:val="24"/>
        </w:rPr>
        <w:t>不可抗力是指合同当事人在签订合同时不可预见，在合同履行过程中不可避免且不能克服的自然灾害和社会性突发事件。经常性发生的各类事件，如：高考期间导致临时封路或停工、上海进博会期间</w:t>
      </w:r>
      <w:r>
        <w:rPr>
          <w:rFonts w:ascii="Times New Roman" w:hAnsi="Times New Roman" w:cs="Times New Roman"/>
          <w:sz w:val="24"/>
        </w:rPr>
        <w:t>(</w:t>
      </w:r>
      <w:r>
        <w:rPr>
          <w:rFonts w:hint="eastAsia" w:ascii="Times New Roman" w:hAnsi="Times New Roman" w:cs="Times New Roman"/>
          <w:sz w:val="24"/>
        </w:rPr>
        <w:t>或其他区域政府机构举办的类似大型活动</w:t>
      </w:r>
      <w:r>
        <w:rPr>
          <w:rFonts w:ascii="Times New Roman" w:hAnsi="Times New Roman" w:cs="Times New Roman"/>
          <w:sz w:val="24"/>
        </w:rPr>
        <w:t>)</w:t>
      </w:r>
      <w:r>
        <w:rPr>
          <w:rFonts w:hint="eastAsia" w:ascii="Times New Roman" w:hAnsi="Times New Roman" w:cs="Times New Roman"/>
          <w:sz w:val="24"/>
        </w:rPr>
        <w:t>导致临时封路或停工、国定假日导致临时封路或停工等均不视作不可抗力情况。</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双方关于不可抗力的约定：</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）地震烈度</w:t>
      </w:r>
      <w:r>
        <w:rPr>
          <w:rFonts w:ascii="Times New Roman" w:hAnsi="Times New Roman" w:cs="Times New Roman"/>
          <w:sz w:val="24"/>
        </w:rPr>
        <w:t>7</w:t>
      </w:r>
      <w:r>
        <w:rPr>
          <w:rFonts w:hint="eastAsia" w:ascii="Times New Roman" w:hAnsi="Times New Roman" w:cs="Times New Roman"/>
          <w:sz w:val="24"/>
        </w:rPr>
        <w:t>级以上（含</w:t>
      </w:r>
      <w:r>
        <w:rPr>
          <w:rFonts w:ascii="Times New Roman" w:hAnsi="Times New Roman" w:cs="Times New Roman"/>
          <w:sz w:val="24"/>
        </w:rPr>
        <w:t>7</w:t>
      </w:r>
      <w:r>
        <w:rPr>
          <w:rFonts w:hint="eastAsia" w:ascii="Times New Roman" w:hAnsi="Times New Roman" w:cs="Times New Roman"/>
          <w:sz w:val="24"/>
        </w:rPr>
        <w:t>度）的地震；</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级热带风暴连续二天（不含）以上部分，</w:t>
      </w:r>
      <w:r>
        <w:rPr>
          <w:rFonts w:ascii="Times New Roman" w:hAnsi="Times New Roman" w:cs="Times New Roman"/>
          <w:sz w:val="24"/>
        </w:rPr>
        <w:t>10</w:t>
      </w:r>
      <w:r>
        <w:rPr>
          <w:rFonts w:hint="eastAsia" w:ascii="Times New Roman" w:hAnsi="Times New Roman" w:cs="Times New Roman"/>
          <w:sz w:val="24"/>
        </w:rPr>
        <w:t>～</w:t>
      </w:r>
      <w:r>
        <w:rPr>
          <w:rFonts w:ascii="Times New Roman" w:hAnsi="Times New Roman" w:cs="Times New Roman"/>
          <w:sz w:val="24"/>
        </w:rPr>
        <w:t>11</w:t>
      </w:r>
      <w:r>
        <w:rPr>
          <w:rFonts w:hint="eastAsia" w:ascii="Times New Roman" w:hAnsi="Times New Roman" w:cs="Times New Roman"/>
          <w:sz w:val="24"/>
        </w:rPr>
        <w:t>级强热带风暴或</w:t>
      </w:r>
      <w:r>
        <w:rPr>
          <w:rFonts w:ascii="Times New Roman" w:hAnsi="Times New Roman" w:cs="Times New Roman"/>
          <w:sz w:val="24"/>
        </w:rPr>
        <w:t>12</w:t>
      </w:r>
      <w:r>
        <w:rPr>
          <w:rFonts w:hint="eastAsia" w:ascii="Times New Roman" w:hAnsi="Times New Roman" w:cs="Times New Roman"/>
          <w:sz w:val="24"/>
        </w:rPr>
        <w:t>级以上台风（以当地市气象台提供的书面盖章资料为准）；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24</w:t>
      </w:r>
      <w:r>
        <w:rPr>
          <w:rFonts w:hint="eastAsia" w:ascii="Times New Roman" w:hAnsi="Times New Roman" w:cs="Times New Roman"/>
          <w:sz w:val="24"/>
        </w:rPr>
        <w:t>小时降雨量达到</w:t>
      </w:r>
      <w:r>
        <w:rPr>
          <w:rFonts w:ascii="Times New Roman" w:hAnsi="Times New Roman" w:cs="Times New Roman"/>
          <w:sz w:val="24"/>
        </w:rPr>
        <w:t>100</w:t>
      </w:r>
      <w:r>
        <w:rPr>
          <w:rFonts w:hint="eastAsia" w:ascii="Times New Roman" w:hAnsi="Times New Roman" w:cs="Times New Roman"/>
          <w:sz w:val="24"/>
        </w:rPr>
        <w:t>毫米以上（以气象台提供的书面盖章资料为准）；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）持续日最高温度</w:t>
      </w:r>
      <w:r>
        <w:rPr>
          <w:rFonts w:ascii="Times New Roman" w:hAnsi="Times New Roman" w:cs="Times New Roman"/>
          <w:sz w:val="24"/>
        </w:rPr>
        <w:t>35</w:t>
      </w:r>
      <w:r>
        <w:rPr>
          <w:rFonts w:hint="eastAsia" w:ascii="Times New Roman" w:hAnsi="Times New Roman" w:cs="Times New Roman"/>
          <w:sz w:val="24"/>
        </w:rPr>
        <w:t>℃以上（含</w:t>
      </w:r>
      <w:r>
        <w:rPr>
          <w:rFonts w:ascii="Times New Roman" w:hAnsi="Times New Roman" w:cs="Times New Roman"/>
          <w:sz w:val="24"/>
        </w:rPr>
        <w:t>35</w:t>
      </w:r>
      <w:r>
        <w:rPr>
          <w:rFonts w:hint="eastAsia" w:ascii="Times New Roman" w:hAnsi="Times New Roman" w:cs="Times New Roman"/>
          <w:sz w:val="24"/>
        </w:rPr>
        <w:t>℃）或日最低温度</w:t>
      </w:r>
      <w:r>
        <w:rPr>
          <w:rFonts w:ascii="Times New Roman" w:hAnsi="Times New Roman" w:cs="Times New Roman"/>
          <w:sz w:val="24"/>
        </w:rPr>
        <w:t>-2</w:t>
      </w:r>
      <w:r>
        <w:rPr>
          <w:rFonts w:hint="eastAsia" w:ascii="Times New Roman" w:hAnsi="Times New Roman" w:cs="Times New Roman"/>
          <w:sz w:val="24"/>
        </w:rPr>
        <w:t>℃及以下三天以上部分（以气象台提供的书面盖章资料为准）；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）地震、海啸、瘟疫、传染病、骚乱、戒严、暴动、战争、洪水、空中飞行物坠落或其他非甲方、乙方责任造成的爆炸、火灾。</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）市级或市级以上人民政府对本工程建设项目作出停建、缓建的决定；</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16.2</w:t>
      </w:r>
      <w:r>
        <w:rPr>
          <w:rFonts w:hint="eastAsia" w:ascii="Times New Roman" w:hAnsi="Times New Roman" w:cs="Times New Roman"/>
          <w:sz w:val="24"/>
        </w:rPr>
        <w:t>不可抗力事件发生后，乙方应立即通知甲方，并在力所能及的条件下迅速采取措施，尽力减少损失，甲方应协助乙方采取措施。甲方认为应当暂停施工的，乙方应暂停施工，不可抗力事件结束后</w:t>
      </w:r>
      <w:r>
        <w:rPr>
          <w:rFonts w:ascii="Times New Roman" w:hAnsi="Times New Roman" w:cs="Times New Roman"/>
          <w:sz w:val="24"/>
        </w:rPr>
        <w:t>48</w:t>
      </w:r>
      <w:r>
        <w:rPr>
          <w:rFonts w:hint="eastAsia" w:ascii="Times New Roman" w:hAnsi="Times New Roman" w:cs="Times New Roman"/>
          <w:sz w:val="24"/>
        </w:rPr>
        <w:t>小时内乙方应向甲方代表通报受害情况和损失情况，预计清理和修复的费用。不可抗力事件持续发生，乙方应每隔</w:t>
      </w:r>
      <w:r>
        <w:rPr>
          <w:rFonts w:ascii="Times New Roman" w:hAnsi="Times New Roman" w:cs="Times New Roman"/>
          <w:sz w:val="24"/>
        </w:rPr>
        <w:t>2</w:t>
      </w:r>
      <w:r>
        <w:rPr>
          <w:rFonts w:hint="eastAsia" w:ascii="Times New Roman" w:hAnsi="Times New Roman" w:cs="Times New Roman"/>
          <w:sz w:val="24"/>
        </w:rPr>
        <w:t>天向甲方代表报告一次受害情况。不可抗力事件结束后</w:t>
      </w:r>
      <w:r>
        <w:rPr>
          <w:rFonts w:ascii="Times New Roman" w:hAnsi="Times New Roman" w:cs="Times New Roman"/>
          <w:sz w:val="24"/>
        </w:rPr>
        <w:t>14</w:t>
      </w:r>
      <w:r>
        <w:rPr>
          <w:rFonts w:hint="eastAsia" w:ascii="Times New Roman" w:hAnsi="Times New Roman" w:cs="Times New Roman"/>
          <w:sz w:val="24"/>
        </w:rPr>
        <w:t>天内，乙方向甲方代表提交清理和修复费用的正式报告及有关资料。</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16.3 </w:t>
      </w:r>
      <w:r>
        <w:rPr>
          <w:rFonts w:hint="eastAsia" w:ascii="Times New Roman" w:hAnsi="Times New Roman" w:cs="Times New Roman"/>
          <w:sz w:val="24"/>
        </w:rPr>
        <w:t>因不可抗力事件导致</w:t>
      </w:r>
      <w:r>
        <w:rPr>
          <w:rFonts w:hint="eastAsia" w:ascii="Arial" w:hAnsi="Arial" w:cs="Arial"/>
          <w:sz w:val="24"/>
        </w:rPr>
        <w:t>工程延误或关键线路工程无法施工的工期可相应顺延，如</w:t>
      </w:r>
      <w:r>
        <w:rPr>
          <w:rFonts w:hint="eastAsia" w:ascii="Times New Roman" w:hAnsi="Times New Roman" w:cs="Times New Roman"/>
          <w:sz w:val="24"/>
        </w:rPr>
        <w:t>产生费用按以下规定处理：</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16.3.1</w:t>
      </w:r>
      <w:r>
        <w:rPr>
          <w:rFonts w:hint="eastAsia" w:ascii="Times New Roman" w:hAnsi="Times New Roman" w:cs="Times New Roman"/>
          <w:sz w:val="24"/>
        </w:rPr>
        <w:t>工程实体部分（但因乙方施工质量及安全措施未达标准除外）的损害、因工程损害导致第三者人员伤亡和财产损失，由甲方承担；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16.3.2</w:t>
      </w:r>
      <w:r>
        <w:rPr>
          <w:rFonts w:hint="eastAsia" w:ascii="Times New Roman" w:hAnsi="Times New Roman" w:cs="Times New Roman"/>
          <w:sz w:val="24"/>
        </w:rPr>
        <w:t>乙方项目部建筑物及其办公设备、居住场所和个人财物及生活设施、施工场地机械设备（包括施工脚手架、外挂安全网等）损坏及停工损失，由乙方承担；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16.3.3</w:t>
      </w:r>
      <w:r>
        <w:rPr>
          <w:rFonts w:hint="eastAsia" w:ascii="Times New Roman" w:hAnsi="Times New Roman" w:cs="Times New Roman"/>
          <w:sz w:val="24"/>
        </w:rPr>
        <w:t>甲方、乙方施工场地内人员伤亡各自承担；</w:t>
      </w:r>
      <w:r>
        <w:rPr>
          <w:rFonts w:ascii="Times New Roman" w:hAnsi="Times New Roman" w:cs="Times New Roman"/>
          <w:sz w:val="24"/>
        </w:rPr>
        <w:t xml:space="preserve">  </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16.3.4</w:t>
      </w:r>
      <w:r>
        <w:rPr>
          <w:rFonts w:hint="eastAsia" w:ascii="Times New Roman" w:hAnsi="Times New Roman" w:cs="Times New Roman"/>
          <w:sz w:val="24"/>
        </w:rPr>
        <w:t>停工期间，乙方应监理工程师和甲方要求留在施工场地的必要的管理人员及保卫人员的费用由甲方承担；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 xml:space="preserve">17  </w:t>
      </w:r>
      <w:r>
        <w:rPr>
          <w:rFonts w:hint="eastAsia" w:ascii="Times New Roman" w:hAnsi="Times New Roman" w:cs="Times New Roman"/>
          <w:bCs/>
          <w:kern w:val="44"/>
          <w:sz w:val="24"/>
        </w:rPr>
        <w:t>其他</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17.1</w:t>
      </w:r>
      <w:r>
        <w:rPr>
          <w:rFonts w:hint="eastAsia" w:ascii="Times New Roman" w:hAnsi="Times New Roman" w:cs="Times New Roman"/>
          <w:sz w:val="24"/>
          <w:lang w:bidi="ar"/>
        </w:rPr>
        <w:t>本合同经双方签字并盖章后生效，合同有效期内，除非经过对方同意或出现本合同约定情形，任何一方不得变更或解除合同；工程竣工验收合格，质保期满无质量问题，双方完全履行合同约定的责任义务后，本合同自行终止。</w:t>
      </w:r>
      <w:r>
        <w:rPr>
          <w:rFonts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17.2</w:t>
      </w:r>
      <w:r>
        <w:rPr>
          <w:rFonts w:hint="eastAsia" w:ascii="Times New Roman" w:hAnsi="Times New Roman" w:cs="Times New Roman"/>
          <w:sz w:val="24"/>
          <w:lang w:bidi="ar"/>
        </w:rPr>
        <w:t>本合同壹式</w:t>
      </w:r>
      <w:r>
        <w:rPr>
          <w:rFonts w:ascii="Times New Roman" w:hAnsi="Times New Roman" w:cs="Times New Roman"/>
          <w:sz w:val="24"/>
          <w:u w:val="single"/>
        </w:rPr>
        <w:t xml:space="preserve"> </w:t>
      </w:r>
      <w:r>
        <w:rPr>
          <w:rFonts w:hint="eastAsia" w:ascii="Times New Roman" w:hAnsi="Times New Roman" w:cs="Times New Roman"/>
          <w:sz w:val="24"/>
          <w:u w:val="single"/>
        </w:rPr>
        <w:t>陆</w:t>
      </w:r>
      <w:r>
        <w:rPr>
          <w:rFonts w:ascii="Times New Roman" w:hAnsi="Times New Roman" w:cs="Times New Roman"/>
          <w:sz w:val="24"/>
          <w:u w:val="single"/>
        </w:rPr>
        <w:t xml:space="preserve"> </w:t>
      </w:r>
      <w:r>
        <w:rPr>
          <w:rFonts w:hint="eastAsia" w:ascii="Times New Roman" w:hAnsi="Times New Roman" w:cs="Times New Roman"/>
          <w:sz w:val="24"/>
          <w:lang w:bidi="ar"/>
        </w:rPr>
        <w:t>份，甲方执</w:t>
      </w:r>
      <w:r>
        <w:rPr>
          <w:rFonts w:ascii="Times New Roman" w:hAnsi="Times New Roman" w:cs="Times New Roman"/>
          <w:sz w:val="24"/>
          <w:u w:val="single"/>
        </w:rPr>
        <w:t xml:space="preserve"> </w:t>
      </w:r>
      <w:r>
        <w:rPr>
          <w:rFonts w:hint="eastAsia" w:ascii="Times New Roman" w:hAnsi="Times New Roman" w:cs="Times New Roman"/>
          <w:sz w:val="24"/>
          <w:u w:val="single"/>
        </w:rPr>
        <w:t>肆</w:t>
      </w:r>
      <w:r>
        <w:rPr>
          <w:rFonts w:ascii="Times New Roman" w:hAnsi="Times New Roman" w:cs="Times New Roman"/>
          <w:sz w:val="24"/>
          <w:u w:val="single"/>
        </w:rPr>
        <w:t xml:space="preserve"> </w:t>
      </w:r>
      <w:r>
        <w:rPr>
          <w:rFonts w:hint="eastAsia" w:ascii="Times New Roman" w:hAnsi="Times New Roman" w:cs="Times New Roman"/>
          <w:sz w:val="24"/>
          <w:lang w:bidi="ar"/>
        </w:rPr>
        <w:t>份，乙方执</w:t>
      </w:r>
      <w:r>
        <w:rPr>
          <w:rFonts w:ascii="Times New Roman" w:hAnsi="Times New Roman" w:cs="Times New Roman"/>
          <w:sz w:val="24"/>
          <w:u w:val="single"/>
        </w:rPr>
        <w:t xml:space="preserve"> </w:t>
      </w:r>
      <w:r>
        <w:rPr>
          <w:rFonts w:hint="eastAsia" w:ascii="Times New Roman" w:hAnsi="Times New Roman" w:cs="Times New Roman"/>
          <w:sz w:val="24"/>
          <w:u w:val="single"/>
        </w:rPr>
        <w:t>贰</w:t>
      </w:r>
      <w:r>
        <w:rPr>
          <w:rFonts w:ascii="Times New Roman" w:hAnsi="Times New Roman" w:cs="Times New Roman"/>
          <w:sz w:val="24"/>
          <w:u w:val="single"/>
        </w:rPr>
        <w:t xml:space="preserve"> </w:t>
      </w:r>
      <w:r>
        <w:rPr>
          <w:rFonts w:hint="eastAsia" w:ascii="Times New Roman" w:hAnsi="Times New Roman" w:cs="Times New Roman"/>
          <w:sz w:val="24"/>
          <w:lang w:bidi="ar"/>
        </w:rPr>
        <w:t>份，具有同等法律效力。</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17.3</w:t>
      </w:r>
      <w:r>
        <w:rPr>
          <w:rFonts w:hint="eastAsia" w:ascii="Times New Roman" w:hAnsi="Times New Roman" w:cs="Times New Roman"/>
          <w:sz w:val="24"/>
          <w:lang w:bidi="ar"/>
        </w:rPr>
        <w:t>合同如有未尽事宜，须经双方共同协商，做出补充协议，补充协议与本合同具有同等效力。本合同中双方承诺提供的联系地址、联系人、联系电话</w:t>
      </w:r>
      <w:r>
        <w:rPr>
          <w:rFonts w:ascii="Times New Roman" w:hAnsi="Times New Roman" w:cs="Times New Roman"/>
          <w:sz w:val="24"/>
          <w:lang w:bidi="ar"/>
        </w:rPr>
        <w:t>(</w:t>
      </w:r>
      <w:r>
        <w:rPr>
          <w:rFonts w:hint="eastAsia" w:ascii="Times New Roman" w:hAnsi="Times New Roman" w:cs="Times New Roman"/>
          <w:sz w:val="24"/>
          <w:lang w:bidi="ar"/>
        </w:rPr>
        <w:t>统称联系方式</w:t>
      </w:r>
      <w:r>
        <w:rPr>
          <w:rFonts w:ascii="Times New Roman" w:hAnsi="Times New Roman" w:cs="Times New Roman"/>
          <w:sz w:val="24"/>
          <w:lang w:bidi="ar"/>
        </w:rPr>
        <w:t>)</w:t>
      </w:r>
      <w:r>
        <w:rPr>
          <w:rFonts w:hint="eastAsia" w:ascii="Times New Roman" w:hAnsi="Times New Roman" w:cs="Times New Roman"/>
          <w:sz w:val="24"/>
          <w:lang w:bidi="ar"/>
        </w:rPr>
        <w:t>均真实有效。双方往来通知应被视为在下列条件下送达：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以快递递送的，为受送达人签收当日；受送达人拒签的为拒签当日。因一方提供的联系方式不准确或一方变更联系方式未提前</w:t>
      </w:r>
      <w:r>
        <w:rPr>
          <w:rFonts w:ascii="Times New Roman" w:hAnsi="Times New Roman" w:cs="Times New Roman"/>
          <w:sz w:val="24"/>
          <w:lang w:bidi="ar"/>
        </w:rPr>
        <w:t>3</w:t>
      </w:r>
      <w:r>
        <w:rPr>
          <w:rFonts w:hint="eastAsia" w:ascii="Times New Roman" w:hAnsi="Times New Roman" w:cs="Times New Roman"/>
          <w:sz w:val="24"/>
          <w:lang w:bidi="ar"/>
        </w:rPr>
        <w:t>日书面通知另一方而导致无法送达的，另一方按本合同预留联系方式自投寄日后第</w:t>
      </w:r>
      <w:r>
        <w:rPr>
          <w:rFonts w:ascii="Times New Roman" w:hAnsi="Times New Roman" w:cs="Times New Roman"/>
          <w:sz w:val="24"/>
          <w:lang w:bidi="ar"/>
        </w:rPr>
        <w:t>5</w:t>
      </w:r>
      <w:r>
        <w:rPr>
          <w:rFonts w:hint="eastAsia" w:ascii="Times New Roman" w:hAnsi="Times New Roman" w:cs="Times New Roman"/>
          <w:sz w:val="24"/>
          <w:lang w:bidi="ar"/>
        </w:rPr>
        <w:t>日视为已经送达，因此产生的不利后果由其自行承担。双方同意，本条约定的联系方式适用于后续诉讼。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17.4 </w:t>
      </w:r>
      <w:r>
        <w:rPr>
          <w:rFonts w:hint="eastAsia" w:ascii="Times New Roman" w:hAnsi="Times New Roman" w:cs="Times New Roman"/>
          <w:sz w:val="24"/>
          <w:lang w:bidi="ar"/>
        </w:rPr>
        <w:t>其他：</w:t>
      </w:r>
      <w:r>
        <w:rPr>
          <w:rFonts w:ascii="Times New Roman" w:hAnsi="Times New Roman" w:cs="Times New Roman"/>
          <w:sz w:val="24"/>
          <w:lang w:bidi="ar"/>
        </w:rPr>
        <w:t xml:space="preserve"> </w:t>
      </w:r>
    </w:p>
    <w:p>
      <w:pPr>
        <w:pStyle w:val="2"/>
        <w:spacing w:line="360" w:lineRule="auto"/>
        <w:rPr>
          <w:rFonts w:ascii="Times New Roman" w:hAnsi="Times New Roman" w:cs="Times New Roman"/>
          <w:sz w:val="24"/>
          <w:lang w:bidi="ar"/>
        </w:rPr>
      </w:pPr>
      <w:r>
        <w:rPr>
          <w:rFonts w:hint="eastAsia" w:ascii="Times New Roman" w:hAnsi="Times New Roman" w:cs="Times New Roman"/>
          <w:sz w:val="24"/>
          <w:lang w:bidi="ar"/>
        </w:rPr>
        <w:t>合同附件：</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附件一：</w:t>
      </w:r>
      <w:r>
        <w:rPr>
          <w:rFonts w:hint="eastAsia" w:ascii="Times New Roman" w:hAnsi="Times New Roman" w:cs="Times New Roman"/>
          <w:sz w:val="24"/>
        </w:rPr>
        <w:t>廉政合同</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附件二：</w:t>
      </w:r>
      <w:r>
        <w:rPr>
          <w:rFonts w:hint="eastAsia" w:ascii="Times New Roman" w:hAnsi="Times New Roman" w:cs="Times New Roman"/>
          <w:sz w:val="24"/>
        </w:rPr>
        <w:t>安全生产合同；</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附件三：</w:t>
      </w:r>
      <w:r>
        <w:rPr>
          <w:rFonts w:hint="eastAsia" w:ascii="Times New Roman" w:hAnsi="Times New Roman" w:cs="Times New Roman"/>
          <w:sz w:val="24"/>
        </w:rPr>
        <w:t>项目负责人委任书；</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附件四：</w:t>
      </w:r>
      <w:r>
        <w:rPr>
          <w:rFonts w:hint="eastAsia" w:ascii="Times New Roman" w:hAnsi="Times New Roman" w:cs="Times New Roman"/>
          <w:sz w:val="24"/>
        </w:rPr>
        <w:t>履约保证金格式</w:t>
      </w:r>
      <w:r>
        <w:rPr>
          <w:rFonts w:ascii="Times New Roman" w:hAnsi="Times New Roman" w:cs="Times New Roman"/>
          <w:sz w:val="24"/>
        </w:rPr>
        <w:t>(</w:t>
      </w:r>
      <w:r>
        <w:rPr>
          <w:rFonts w:hint="eastAsia" w:ascii="Times New Roman" w:hAnsi="Times New Roman" w:cs="Times New Roman"/>
          <w:sz w:val="24"/>
        </w:rPr>
        <w:t>如有</w:t>
      </w:r>
      <w:r>
        <w:rPr>
          <w:rFonts w:ascii="Times New Roman" w:hAnsi="Times New Roman" w:cs="Times New Roman"/>
          <w:sz w:val="24"/>
        </w:rPr>
        <w:t>)</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附件五：</w:t>
      </w:r>
      <w:r>
        <w:rPr>
          <w:rFonts w:hint="eastAsia" w:ascii="Times New Roman" w:hAnsi="Times New Roman" w:cs="Times New Roman"/>
          <w:sz w:val="24"/>
        </w:rPr>
        <w:t>工程质量保修书</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附件六：三方维保协议；</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rPr>
        <w:t>附件七：工程技术规范及要求</w:t>
      </w:r>
      <w:r>
        <w:rPr>
          <w:rFonts w:ascii="Times New Roman" w:hAnsi="Times New Roman" w:cs="Times New Roman"/>
          <w:sz w:val="24"/>
        </w:rPr>
        <w:t>(</w:t>
      </w:r>
      <w:r>
        <w:rPr>
          <w:rFonts w:hint="eastAsia" w:ascii="Times New Roman" w:hAnsi="Times New Roman" w:cs="Times New Roman"/>
          <w:sz w:val="24"/>
        </w:rPr>
        <w:t>如有</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rPr>
      </w:pPr>
      <w:r>
        <w:rPr>
          <w:rFonts w:hint="eastAsia" w:ascii="Times New Roman" w:hAnsi="Times New Roman" w:cs="Times New Roman"/>
          <w:sz w:val="24"/>
        </w:rPr>
        <w:t>附件八：已标价的报价清单。</w:t>
      </w:r>
    </w:p>
    <w:p>
      <w:pPr>
        <w:pStyle w:val="2"/>
        <w:rPr>
          <w:sz w:val="24"/>
        </w:rPr>
      </w:pPr>
    </w:p>
    <w:p>
      <w:pPr>
        <w:widowControl/>
        <w:jc w:val="left"/>
        <w:rPr>
          <w:sz w:val="24"/>
        </w:rPr>
      </w:pPr>
      <w:r>
        <w:rPr>
          <w:sz w:val="24"/>
        </w:rPr>
        <w:br w:type="page"/>
      </w:r>
    </w:p>
    <w:p>
      <w:pPr>
        <w:pStyle w:val="2"/>
        <w:rPr>
          <w:sz w:val="24"/>
        </w:rPr>
      </w:pPr>
    </w:p>
    <w:p>
      <w:pPr>
        <w:pStyle w:val="2"/>
        <w:rPr>
          <w:rFonts w:ascii="Times New Roman" w:hAnsi="Times New Roman" w:cs="Times New Roman"/>
          <w:sz w:val="24"/>
          <w:lang w:bidi="ar"/>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pStyle w:val="19"/>
        <w:ind w:firstLine="4" w:firstLineChars="2"/>
        <w:rPr>
          <w:rFonts w:ascii="Times New Roman" w:hAnsi="Times New Roman" w:cs="Times New Roman"/>
          <w:sz w:val="24"/>
          <w:szCs w:val="24"/>
          <w:lang w:bidi="ar"/>
        </w:rPr>
      </w:pPr>
    </w:p>
    <w:p>
      <w:pPr>
        <w:pStyle w:val="19"/>
        <w:ind w:firstLine="4" w:firstLineChars="2"/>
        <w:rPr>
          <w:rFonts w:ascii="Times New Roman" w:hAnsi="Times New Roman" w:cs="Times New Roman"/>
          <w:sz w:val="24"/>
          <w:szCs w:val="24"/>
          <w:lang w:bidi="ar"/>
        </w:rPr>
      </w:pP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发包人：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承包人：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法定代表人：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法定代表人：</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委托代理人：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委托代理人：</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p>
    <w:p>
      <w:pPr>
        <w:pStyle w:val="19"/>
        <w:ind w:left="480" w:leftChars="0" w:hanging="480" w:hangingChars="200"/>
        <w:rPr>
          <w:rFonts w:ascii="Times New Roman" w:hAnsi="Times New Roman" w:cs="Times New Roman"/>
          <w:sz w:val="24"/>
          <w:szCs w:val="24"/>
          <w:lang w:bidi="ar"/>
        </w:rPr>
      </w:pP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签订日期：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签订日期：</w:t>
      </w:r>
    </w:p>
    <w:p>
      <w:pPr>
        <w:spacing w:before="120" w:line="440" w:lineRule="exact"/>
        <w:rPr>
          <w:rFonts w:ascii="Times New Roman" w:hAnsi="Times New Roman" w:cs="Times New Roman"/>
          <w:sz w:val="24"/>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pStyle w:val="4"/>
        <w:numPr>
          <w:ilvl w:val="0"/>
          <w:numId w:val="0"/>
        </w:numPr>
        <w:spacing w:before="120" w:line="440" w:lineRule="exact"/>
        <w:rPr>
          <w:rFonts w:ascii="Times New Roman" w:hAnsi="Times New Roman" w:cs="Times New Roman"/>
          <w:sz w:val="24"/>
          <w:szCs w:val="24"/>
        </w:rPr>
      </w:pPr>
      <w:r>
        <w:rPr>
          <w:rFonts w:hint="eastAsia" w:ascii="Times New Roman" w:hAnsi="Times New Roman" w:cs="Times New Roman"/>
          <w:sz w:val="24"/>
          <w:szCs w:val="24"/>
        </w:rPr>
        <w:t>附件一：</w:t>
      </w:r>
      <w:bookmarkStart w:id="70" w:name="_Toc20611"/>
      <w:bookmarkStart w:id="71" w:name="_Toc21477"/>
      <w:bookmarkStart w:id="72" w:name="_Toc31013"/>
      <w:bookmarkStart w:id="73" w:name="_Toc21317_WPSOffice_Level2"/>
      <w:r>
        <w:rPr>
          <w:rFonts w:hint="eastAsia" w:ascii="Times New Roman" w:hAnsi="Times New Roman" w:cs="Times New Roman"/>
          <w:sz w:val="24"/>
          <w:szCs w:val="24"/>
        </w:rPr>
        <w:t>廉</w:t>
      </w:r>
      <w:r>
        <w:rPr>
          <w:rFonts w:ascii="Times New Roman" w:hAnsi="Times New Roman" w:cs="Times New Roman"/>
          <w:sz w:val="24"/>
          <w:szCs w:val="24"/>
        </w:rPr>
        <w:t xml:space="preserve"> </w:t>
      </w:r>
      <w:r>
        <w:rPr>
          <w:rFonts w:hint="eastAsia" w:ascii="Times New Roman" w:hAnsi="Times New Roman" w:cs="Times New Roman"/>
          <w:sz w:val="24"/>
          <w:szCs w:val="24"/>
        </w:rPr>
        <w:t>政</w:t>
      </w:r>
      <w:r>
        <w:rPr>
          <w:rFonts w:ascii="Times New Roman" w:hAnsi="Times New Roman" w:cs="Times New Roman"/>
          <w:sz w:val="24"/>
          <w:szCs w:val="24"/>
        </w:rPr>
        <w:t xml:space="preserve"> </w:t>
      </w:r>
      <w:r>
        <w:rPr>
          <w:rFonts w:hint="eastAsia" w:ascii="Times New Roman" w:hAnsi="Times New Roman" w:cs="Times New Roman"/>
          <w:sz w:val="24"/>
          <w:szCs w:val="24"/>
        </w:rPr>
        <w:t>合</w:t>
      </w:r>
      <w:r>
        <w:rPr>
          <w:rFonts w:ascii="Times New Roman" w:hAnsi="Times New Roman" w:cs="Times New Roman"/>
          <w:sz w:val="24"/>
          <w:szCs w:val="24"/>
        </w:rPr>
        <w:t xml:space="preserve"> </w:t>
      </w:r>
      <w:r>
        <w:rPr>
          <w:rFonts w:hint="eastAsia" w:ascii="Times New Roman" w:hAnsi="Times New Roman" w:cs="Times New Roman"/>
          <w:sz w:val="24"/>
          <w:szCs w:val="24"/>
        </w:rPr>
        <w:t>同</w:t>
      </w:r>
      <w:bookmarkEnd w:id="70"/>
      <w:bookmarkEnd w:id="71"/>
      <w:bookmarkEnd w:id="72"/>
      <w:bookmarkEnd w:id="73"/>
    </w:p>
    <w:p>
      <w:pPr>
        <w:spacing w:line="560" w:lineRule="exact"/>
        <w:jc w:val="center"/>
        <w:rPr>
          <w:rFonts w:ascii="Times New Roman" w:hAnsi="Times New Roman" w:cs="Times New Roman"/>
          <w:sz w:val="24"/>
        </w:rPr>
      </w:pPr>
      <w:r>
        <w:rPr>
          <w:rFonts w:hint="eastAsia" w:ascii="Times New Roman" w:hAnsi="Times New Roman" w:cs="Times New Roman"/>
          <w:sz w:val="24"/>
        </w:rPr>
        <w:t>廉政合同</w:t>
      </w:r>
    </w:p>
    <w:p>
      <w:pPr>
        <w:spacing w:line="560" w:lineRule="exact"/>
        <w:ind w:firstLine="480" w:firstLineChars="200"/>
        <w:rPr>
          <w:rFonts w:ascii="Times New Roman" w:hAnsi="Times New Roman" w:cs="Times New Roman"/>
          <w:sz w:val="24"/>
        </w:rPr>
      </w:pPr>
      <w:r>
        <w:rPr>
          <w:rFonts w:hint="eastAsia" w:ascii="Times New Roman" w:hAnsi="Times New Roman" w:cs="Times New Roman"/>
          <w:sz w:val="24"/>
        </w:rPr>
        <w:t>根据有关工程建设、廉政建设的规定，为抓好工程建设中的党风廉政建设，保证工程建设高效优质，保证建设资金的安全和有效使用以及投资效益，保证参与建设的管理人员、技术人员廉洁从业，</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青浦区华新镇华志路北侧23-01地块项目交通标识工程 </w:t>
      </w:r>
      <w:r>
        <w:rPr>
          <w:rFonts w:hint="eastAsia" w:ascii="Times New Roman" w:hAnsi="Times New Roman" w:cs="Times New Roman"/>
          <w:sz w:val="24"/>
        </w:rPr>
        <w:t>建设工程的项目法人</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hint="eastAsia" w:ascii="Times New Roman" w:hAnsi="Times New Roman" w:cs="Times New Roman"/>
          <w:sz w:val="24"/>
        </w:rPr>
        <w:t>（以下称甲方）与施工单位</w:t>
      </w:r>
      <w:r>
        <w:rPr>
          <w:rFonts w:ascii="Times New Roman" w:hAnsi="Times New Roman" w:cs="Times New Roman"/>
          <w:sz w:val="24"/>
          <w:u w:val="single"/>
        </w:rPr>
        <w:t xml:space="preserve">                               </w:t>
      </w:r>
      <w:r>
        <w:rPr>
          <w:rFonts w:hint="eastAsia" w:ascii="Times New Roman" w:hAnsi="Times New Roman" w:cs="Times New Roman"/>
          <w:sz w:val="24"/>
        </w:rPr>
        <w:t>（以下称乙方），特订立如下合同。</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甲乙双方的权利和义务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）严格遵守党的政策和国家有关法律法规的有关规定。</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）严格执行</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青浦区华新镇华志路北侧23-01地块项目交通标识工程</w:t>
      </w:r>
      <w:r>
        <w:rPr>
          <w:rFonts w:hint="eastAsia" w:ascii="Times New Roman" w:hAnsi="Times New Roman" w:cs="Times New Roman"/>
          <w:sz w:val="24"/>
        </w:rPr>
        <w:t>（合同文件名称）施工合同，自觉按合同办事。</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）双方的业务活动坚持公开、公正、诚信、透明的原则（法律认定的商业秘密和合同文件另有规定除外），不得损害国家和集体利益，不得违反工程建设管理规章制度。</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）建立健全廉政制度，开展廉政教育和廉洁文化建设，设立廉政告示牌，公布举报电话，监督并认真查处违规违纪违法行为。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）发现对方在业务活动中有违反廉政规定的行为，有及时提醒对方纠正的权利和义务。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）发现对方严重违反本合同义务条款的行为，有向有关部门举报、建议给予处理并要求告知处理结果的权利。</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甲方的义务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）甲方及其工作人员不得利用职务之便索要或接受乙方的礼品、礼金、消费卡和有价证券、股权、其他金融产品等财物。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）甲方及其工作人员不得在利用职务之便为乙方谋取利益之前或之后，约定在其离职后收受乙方财物，并在离职后收受。</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）甲方及其工作人员不得在乙方报销应由甲方或个人支付的费用等。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）甲方及其工作人员不得要求或者接受乙方可能影响公正执行公务的宴请以及旅游、健身、娱乐等活动安排；除集团公司另有规定外，不得要求和接受乙方为其个人提供的交通工具、通讯工具、高档办公用品等。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）甲方工作人员的配偶、子女及其配偶等亲属和其他特定关系人不得从事与甲方工程有关的材料设备供应、工程分包、劳务等经济活动。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）甲方及其工作人员不得以任何理由向乙方推荐分包单位或推销材料、产品、设备；不得要求乙方购买合同规定外的材料和设备。</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）甲方工作人员要秉公办事，不准营私舞弊，不得利用职权从事各种个人有偿中介活动和安排个人施工队伍。</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）甲方及其工作人员不得有其他可能影响廉洁从业的行为。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乙方义务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）乙方及其工作人员不得以任何形式向甲方及其工作人员行贿或馈赠礼品、礼金、消费卡和有价证券、股权、其他金融产品等财物，以及回扣、好处费、感谢费等。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）乙方及其工作人员不得与甲方及其工作人员约定，甲方及其工作人员利用职务之便为乙方谋取利益，乙方在其离职后给予财物。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）乙方不得以任何名义为甲方及其工作人员报销由甲方单位或个人支付的任何费用。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）乙方及其工作人员不得为甲方工作人员住房装修、婚丧嫁娶、特定关系人的工作安排以及出国、旅游等提供方便；不得为甲方工作人员的特定关系人以安排工作为名，使其不实际工作却获取薪酬。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乙方及其工作人员不得与本项目的监理单位、验收单位及其工作人员串通，违反工程计量、资金支付、质量评定、竣工验收等有关规定和程序，损害甲方利益，影响项目进度、质量、安全和效益，不得骗取、套取国家资金。</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）乙方应在项目地的显著位置设立廉政公示牌，公示项目的名称、项目施工单位、项目监理单位、项目开竣工时间，以及项目管理单位和督查单位及廉政建设举报电话。</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）乙方及其工作人员不得有其他可能影响廉洁从业的行为。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违约责任</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条，按管理权限，依据有关规定给予党纪政务处分和组织处理；涉嫌犯罪的，移交司法机关追究刑事责任；给乙方单位造成经济损失的，应予以赔偿。</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条，按管理权限，依据有关规定，给予相关处理；给甲方单位造成经济损失的，应予以赔偿；情节严重的，甲方建议交通工程建设主管部门给予严肃处理。</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本合同有效期为甲乙双方签署之日起至该工程项目竣工验收后止。</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青浦区华新镇华志路北侧23-01地块项目交通标识工程</w:t>
      </w:r>
      <w:r>
        <w:rPr>
          <w:rFonts w:hint="eastAsia" w:ascii="Times New Roman" w:hAnsi="Times New Roman" w:cs="Times New Roman"/>
          <w:sz w:val="24"/>
        </w:rPr>
        <w:t>（合同名称）工程施工合同的附件，与工程施工合同具有同等的法律效力，经合同双方签署立即生效。</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 xml:space="preserve">本合同壹式 </w:t>
      </w:r>
      <w:r>
        <w:rPr>
          <w:rFonts w:hint="eastAsia" w:ascii="Times New Roman" w:hAnsi="Times New Roman" w:cs="Times New Roman"/>
          <w:sz w:val="24"/>
          <w:u w:val="single"/>
        </w:rPr>
        <w:t xml:space="preserve">陆 </w:t>
      </w:r>
      <w:r>
        <w:rPr>
          <w:rFonts w:hint="eastAsia" w:ascii="Times New Roman" w:hAnsi="Times New Roman" w:cs="Times New Roman"/>
          <w:sz w:val="24"/>
        </w:rPr>
        <w:t xml:space="preserve">份，甲方执 </w:t>
      </w:r>
      <w:r>
        <w:rPr>
          <w:rFonts w:hint="eastAsia" w:ascii="Times New Roman" w:hAnsi="Times New Roman" w:cs="Times New Roman"/>
          <w:sz w:val="24"/>
          <w:u w:val="single"/>
        </w:rPr>
        <w:t xml:space="preserve">肆 </w:t>
      </w:r>
      <w:r>
        <w:rPr>
          <w:rFonts w:hint="eastAsia" w:ascii="Times New Roman" w:hAnsi="Times New Roman" w:cs="Times New Roman"/>
          <w:sz w:val="24"/>
        </w:rPr>
        <w:t xml:space="preserve">份，乙方执 </w:t>
      </w:r>
      <w:r>
        <w:rPr>
          <w:rFonts w:hint="eastAsia" w:ascii="Times New Roman" w:hAnsi="Times New Roman" w:cs="Times New Roman"/>
          <w:sz w:val="24"/>
          <w:u w:val="single"/>
        </w:rPr>
        <w:t>贰</w:t>
      </w:r>
      <w:r>
        <w:rPr>
          <w:rFonts w:hint="eastAsia" w:ascii="Times New Roman" w:hAnsi="Times New Roman" w:cs="Times New Roman"/>
          <w:sz w:val="24"/>
        </w:rPr>
        <w:t xml:space="preserve"> 份，具有同等法律效力。</w:t>
      </w:r>
    </w:p>
    <w:p>
      <w:pPr>
        <w:widowControl/>
        <w:jc w:val="left"/>
        <w:rPr>
          <w:rFonts w:ascii="Times New Roman" w:hAnsi="Times New Roman" w:cs="Times New Roman"/>
          <w:sz w:val="24"/>
        </w:rPr>
      </w:pPr>
    </w:p>
    <w:p>
      <w:pPr>
        <w:spacing w:line="560" w:lineRule="exact"/>
        <w:rPr>
          <w:rFonts w:ascii="Times New Roman" w:hAnsi="Times New Roman" w:cs="Times New Roman"/>
          <w:sz w:val="24"/>
        </w:rPr>
      </w:pPr>
    </w:p>
    <w:p>
      <w:pPr>
        <w:pStyle w:val="2"/>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甲方单位：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 xml:space="preserve">)                                                </w:t>
      </w:r>
      <w:r>
        <w:rPr>
          <w:rFonts w:hint="eastAsia" w:ascii="Times New Roman" w:hAnsi="Times New Roman" w:cs="Times New Roman"/>
          <w:sz w:val="24"/>
        </w:rPr>
        <w:t>乙方单位：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法定代表人：</w:t>
      </w:r>
      <w:r>
        <w:rPr>
          <w:rFonts w:ascii="Times New Roman" w:hAnsi="Times New Roman" w:cs="Times New Roman"/>
          <w:sz w:val="24"/>
        </w:rPr>
        <w:t xml:space="preserve">                                                       </w:t>
      </w:r>
      <w:r>
        <w:rPr>
          <w:rFonts w:hint="eastAsia" w:ascii="Times New Roman" w:hAnsi="Times New Roman" w:cs="Times New Roman"/>
          <w:sz w:val="24"/>
        </w:rPr>
        <w:t>法定代表人：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或</w:t>
      </w:r>
      <w:r>
        <w:rPr>
          <w:rFonts w:ascii="Times New Roman" w:hAnsi="Times New Roman" w:cs="Times New Roman"/>
          <w:sz w:val="24"/>
        </w:rPr>
        <w:t xml:space="preserve">                                                                           </w:t>
      </w:r>
      <w:r>
        <w:rPr>
          <w:rFonts w:hint="eastAsia" w:ascii="Times New Roman" w:hAnsi="Times New Roman" w:cs="Times New Roman"/>
          <w:sz w:val="24"/>
        </w:rPr>
        <w:t>或</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其授权的代理人：</w:t>
      </w:r>
      <w:r>
        <w:rPr>
          <w:rFonts w:ascii="Times New Roman" w:hAnsi="Times New Roman" w:cs="Times New Roman"/>
          <w:sz w:val="24"/>
        </w:rPr>
        <w:t xml:space="preserve">                                               </w:t>
      </w:r>
      <w:r>
        <w:rPr>
          <w:rFonts w:hint="eastAsia" w:ascii="Times New Roman" w:hAnsi="Times New Roman" w:cs="Times New Roman"/>
          <w:sz w:val="24"/>
        </w:rPr>
        <w:t>其授权的代理人：</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spacing w:line="440" w:lineRule="exact"/>
        <w:ind w:firstLine="616" w:firstLineChars="257"/>
        <w:rPr>
          <w:rFonts w:ascii="Times New Roman" w:hAnsi="Times New Roman" w:cs="Times New Roman"/>
          <w:sz w:val="24"/>
        </w:rPr>
      </w:pPr>
    </w:p>
    <w:p>
      <w:pPr>
        <w:pStyle w:val="2"/>
        <w:spacing w:line="440" w:lineRule="exact"/>
        <w:rPr>
          <w:rFonts w:ascii="Times New Roman" w:hAnsi="Times New Roman" w:cs="Times New Roman"/>
          <w:sz w:val="24"/>
        </w:rPr>
      </w:pPr>
    </w:p>
    <w:p>
      <w:pPr>
        <w:pStyle w:val="2"/>
        <w:spacing w:line="440" w:lineRule="exact"/>
        <w:rPr>
          <w:rFonts w:ascii="Times New Roman" w:hAnsi="Times New Roman" w:cs="Times New Roman"/>
          <w:sz w:val="24"/>
        </w:rPr>
      </w:pPr>
      <w:r>
        <w:rPr>
          <w:rFonts w:ascii="Times New Roman" w:hAnsi="Times New Roman" w:cs="Times New Roman"/>
          <w:sz w:val="24"/>
        </w:rPr>
        <w:br w:type="page"/>
      </w:r>
      <w:bookmarkStart w:id="74" w:name="_Toc27047"/>
      <w:bookmarkStart w:id="75" w:name="_Toc18246"/>
      <w:bookmarkStart w:id="76" w:name="_Toc25727"/>
      <w:bookmarkStart w:id="77" w:name="_Toc2783_WPSOffice_Level2"/>
      <w:r>
        <w:rPr>
          <w:rFonts w:hint="eastAsia" w:ascii="Times New Roman" w:hAnsi="Times New Roman" w:cs="Times New Roman"/>
          <w:sz w:val="24"/>
        </w:rPr>
        <w:t>附件二：安全生产合同</w:t>
      </w:r>
      <w:bookmarkEnd w:id="74"/>
      <w:bookmarkEnd w:id="75"/>
      <w:bookmarkEnd w:id="76"/>
      <w:bookmarkEnd w:id="77"/>
    </w:p>
    <w:p>
      <w:pPr>
        <w:pStyle w:val="28"/>
        <w:spacing w:line="440" w:lineRule="exact"/>
        <w:rPr>
          <w:rFonts w:ascii="Times New Roman" w:hAnsi="Times New Roman" w:cs="Times New Roman" w:eastAsiaTheme="minorEastAsia"/>
          <w:sz w:val="24"/>
        </w:rPr>
      </w:pPr>
      <w:r>
        <w:rPr>
          <w:rFonts w:hint="eastAsia" w:ascii="Times New Roman" w:hAnsi="Times New Roman" w:cs="Times New Roman" w:eastAsiaTheme="minorEastAsia"/>
          <w:sz w:val="24"/>
        </w:rPr>
        <w:t>安全生产合同</w:t>
      </w:r>
    </w:p>
    <w:p>
      <w:pPr>
        <w:autoSpaceDE w:val="0"/>
        <w:autoSpaceDN w:val="0"/>
        <w:adjustRightInd w:val="0"/>
        <w:spacing w:line="360" w:lineRule="auto"/>
        <w:jc w:val="left"/>
        <w:rPr>
          <w:rFonts w:ascii="Times New Roman" w:hAnsi="Times New Roman" w:cs="Times New Roman"/>
          <w:sz w:val="24"/>
        </w:rPr>
      </w:pPr>
    </w:p>
    <w:p>
      <w:pPr>
        <w:autoSpaceDE w:val="0"/>
        <w:autoSpaceDN w:val="0"/>
        <w:adjustRightInd w:val="0"/>
        <w:spacing w:line="360" w:lineRule="auto"/>
        <w:ind w:firstLine="435"/>
        <w:jc w:val="left"/>
        <w:rPr>
          <w:rFonts w:ascii="Times New Roman" w:hAnsi="Times New Roman" w:cs="Times New Roman"/>
          <w:sz w:val="24"/>
          <w:u w:val="single"/>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p>
    <w:p>
      <w:pPr>
        <w:autoSpaceDE w:val="0"/>
        <w:autoSpaceDN w:val="0"/>
        <w:adjustRightInd w:val="0"/>
        <w:spacing w:after="240" w:line="360" w:lineRule="auto"/>
        <w:ind w:firstLine="435"/>
        <w:jc w:val="left"/>
        <w:rPr>
          <w:rFonts w:ascii="Times New Roman" w:hAnsi="Times New Roman" w:cs="Times New Roman"/>
          <w:sz w:val="24"/>
          <w:u w:val="single"/>
        </w:rPr>
      </w:pP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为认真贯彻</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的方针，落实安全责任，加强安全生产监督管理，确保工程建设安全生产，结合工作实际，按规定搞好安全防护措施，把安全生产落实到实处，双方特签订</w:t>
      </w:r>
      <w:r>
        <w:rPr>
          <w:rFonts w:ascii="Times New Roman" w:hAnsi="Times New Roman" w:cs="Times New Roman"/>
          <w:sz w:val="24"/>
          <w:u w:val="single"/>
        </w:rPr>
        <w:t xml:space="preserve">  </w:t>
      </w:r>
      <w:r>
        <w:rPr>
          <w:rFonts w:hint="eastAsia" w:ascii="Times New Roman" w:hAnsi="Times New Roman" w:cs="Times New Roman"/>
          <w:sz w:val="24"/>
          <w:u w:val="single"/>
        </w:rPr>
        <w:t>青浦区华新镇华志路北侧23-01地块项目交通标识工程</w:t>
      </w:r>
      <w:r>
        <w:rPr>
          <w:rFonts w:ascii="Times New Roman" w:hAnsi="Times New Roman" w:cs="Times New Roman"/>
          <w:sz w:val="24"/>
          <w:u w:val="single"/>
        </w:rPr>
        <w:t xml:space="preserve">  </w:t>
      </w:r>
      <w:r>
        <w:rPr>
          <w:rFonts w:hint="eastAsia" w:ascii="Times New Roman" w:hAnsi="Times New Roman" w:cs="Times New Roman"/>
          <w:sz w:val="24"/>
        </w:rPr>
        <w:t>安全生产合同。主要内容如下：</w:t>
      </w:r>
    </w:p>
    <w:p>
      <w:pPr>
        <w:numPr>
          <w:ilvl w:val="0"/>
          <w:numId w:val="4"/>
        </w:num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发包人责任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严格遵照《中华人民共和国安全生产法》、《建设工程安全生产管理条例》等有关安全生产规定，依法对承包人进行安全生产监督管理。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严格按照有关安全生产法律法规条例规定，建立安全生产管理机构，制定各项安全生产规章制度，建立事故应急救援预案。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按照</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的方针和</w:t>
      </w:r>
      <w:r>
        <w:rPr>
          <w:rFonts w:ascii="Times New Roman" w:hAnsi="Times New Roman" w:cs="Times New Roman"/>
          <w:sz w:val="24"/>
        </w:rPr>
        <w:t>“</w:t>
      </w:r>
      <w:r>
        <w:rPr>
          <w:rFonts w:hint="eastAsia" w:ascii="Times New Roman" w:hAnsi="Times New Roman" w:cs="Times New Roman"/>
          <w:sz w:val="24"/>
        </w:rPr>
        <w:t>管生产必须管安全</w:t>
      </w:r>
      <w:r>
        <w:rPr>
          <w:rFonts w:ascii="Times New Roman" w:hAnsi="Times New Roman" w:cs="Times New Roman"/>
          <w:sz w:val="24"/>
        </w:rPr>
        <w:t>”</w:t>
      </w:r>
      <w:r>
        <w:rPr>
          <w:rFonts w:hint="eastAsia" w:ascii="Times New Roman" w:hAnsi="Times New Roman" w:cs="Times New Roman"/>
          <w:sz w:val="24"/>
        </w:rPr>
        <w:t>的原则进行安全生产管理，做到生产与安全工作同时计划、布置、检查和总结。</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督促、指导并检查承包人安全管理人员的安全培训，依法持证上岗。</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定期召开安全生产工作会议，及时传达中央及地方有关安全生产精神。</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组织对承包人施工现场和安全生产内业资料的检查，监督承包人及时处理各种安全隐患。</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严肃查处违章、违纪行为，对情节严重的依法给予相应处罚。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w:t>
      </w:r>
      <w:r>
        <w:rPr>
          <w:rFonts w:hint="eastAsia" w:ascii="Times New Roman" w:hAnsi="Times New Roman" w:cs="Times New Roman"/>
          <w:sz w:val="24"/>
        </w:rPr>
        <w:t>发包人的上述所有责任的任何缺失，并不免除承包人依照《中华人民共和国建筑法》等相关法律法规应当承担的安全责任。</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二、承包人责任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建立事故应急救援组织和应急救援预案，并定期组织演练；组织开展事故应急知识培训和宣传工作；班组人员应相对固定，不得随意招用社会闲散人员或不明身份者充入班组，无</w:t>
      </w:r>
      <w:r>
        <w:rPr>
          <w:rFonts w:ascii="Times New Roman" w:hAnsi="Times New Roman" w:cs="Times New Roman"/>
          <w:sz w:val="24"/>
        </w:rPr>
        <w:t>“</w:t>
      </w:r>
      <w:r>
        <w:rPr>
          <w:rFonts w:hint="eastAsia" w:ascii="Times New Roman" w:hAnsi="Times New Roman" w:cs="Times New Roman"/>
          <w:sz w:val="24"/>
        </w:rPr>
        <w:t>三证</w:t>
      </w:r>
      <w:r>
        <w:rPr>
          <w:rFonts w:ascii="Times New Roman" w:hAnsi="Times New Roman" w:cs="Times New Roman"/>
          <w:sz w:val="24"/>
        </w:rPr>
        <w:t>”</w:t>
      </w:r>
      <w:r>
        <w:rPr>
          <w:rFonts w:hint="eastAsia" w:ascii="Times New Roman" w:hAnsi="Times New Roman" w:cs="Times New Roman"/>
          <w:sz w:val="24"/>
        </w:rPr>
        <w:t>人员不得进入施工现场；认真开展</w:t>
      </w:r>
      <w:r>
        <w:rPr>
          <w:rFonts w:ascii="Times New Roman" w:hAnsi="Times New Roman" w:cs="Times New Roman"/>
          <w:sz w:val="24"/>
        </w:rPr>
        <w:t>“</w:t>
      </w:r>
      <w:r>
        <w:rPr>
          <w:rFonts w:hint="eastAsia" w:ascii="Times New Roman" w:hAnsi="Times New Roman" w:cs="Times New Roman"/>
          <w:sz w:val="24"/>
        </w:rPr>
        <w:t>三上岗、一讲评</w:t>
      </w:r>
      <w:r>
        <w:rPr>
          <w:rFonts w:ascii="Times New Roman" w:hAnsi="Times New Roman" w:cs="Times New Roman"/>
          <w:sz w:val="24"/>
        </w:rPr>
        <w:t>”</w:t>
      </w:r>
      <w:r>
        <w:rPr>
          <w:rFonts w:hint="eastAsia" w:ascii="Times New Roman" w:hAnsi="Times New Roman" w:cs="Times New Roman"/>
          <w:sz w:val="24"/>
        </w:rPr>
        <w:t>安全活动，对职工进行定期或不定期的安全教育工作；特殊工作必须由持有本专业有效证件人员操作，禁止擅自操作其它工种的一切设备、支架</w:t>
      </w:r>
      <w:r>
        <w:rPr>
          <w:rFonts w:ascii="Times New Roman" w:hAnsi="Times New Roman" w:cs="Times New Roman"/>
          <w:sz w:val="24"/>
        </w:rPr>
        <w:t>(</w:t>
      </w:r>
      <w:r>
        <w:rPr>
          <w:rFonts w:hint="eastAsia" w:ascii="Times New Roman" w:hAnsi="Times New Roman" w:cs="Times New Roman"/>
          <w:sz w:val="24"/>
        </w:rPr>
        <w:t>如接电、开机、拆架等等</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根据工程危险源分析和重大危险性工程施工方案论证情况，切实做好相应安全预警预防工作。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对关键工程、要害部位、施工现场、主要机械设备进行定期或不定期检查，发现问题及时处理，严查各种违章、违规现象。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接受地方安监部门监督检查。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出现事故，立即上报，不得隐瞒、漏报。</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三、责任目标</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杜绝较大安全生产责任事故、重大安全生产责任事故、特大安全生产责任事故发生，完成年度安全生产各项工作任务，安全生产各项考核指标满足规范要求。</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四、检查、考核、评定</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公司安全生产领导小组办公室进行年度考核，具体方法实行月检查打分制，月检查累计分数将作为工程结束后退还质保金、评定工作的重要依据。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五、本合同自签订之日起至项目竣工验收止。</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六、本合同作为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青浦区华新镇华志路北侧23-01地块项目交通标识工程 </w:t>
      </w:r>
      <w:r>
        <w:rPr>
          <w:rFonts w:hint="eastAsia" w:ascii="Times New Roman" w:hAnsi="Times New Roman" w:cs="Times New Roman"/>
          <w:sz w:val="24"/>
        </w:rPr>
        <w:t>施工合同的附件，与工程施工合同具有同等的法律效力，经合同双方签署后立即生效。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七、本合同壹式</w:t>
      </w:r>
      <w:r>
        <w:rPr>
          <w:rFonts w:hint="eastAsia" w:ascii="Times New Roman" w:hAnsi="Times New Roman" w:cs="Times New Roman"/>
          <w:sz w:val="24"/>
          <w:u w:val="single"/>
        </w:rPr>
        <w:t xml:space="preserve"> 陆 </w:t>
      </w:r>
      <w:r>
        <w:rPr>
          <w:rFonts w:hint="eastAsia" w:ascii="Times New Roman" w:hAnsi="Times New Roman" w:cs="Times New Roman"/>
          <w:sz w:val="24"/>
        </w:rPr>
        <w:t>份，甲方执</w:t>
      </w:r>
      <w:r>
        <w:rPr>
          <w:rFonts w:hint="eastAsia" w:ascii="Times New Roman" w:hAnsi="Times New Roman" w:cs="Times New Roman"/>
          <w:sz w:val="24"/>
          <w:u w:val="single"/>
        </w:rPr>
        <w:t xml:space="preserve"> 肆</w:t>
      </w:r>
      <w:r>
        <w:rPr>
          <w:rFonts w:hint="eastAsia" w:ascii="Times New Roman" w:hAnsi="Times New Roman" w:cs="Times New Roman"/>
          <w:sz w:val="24"/>
        </w:rPr>
        <w:t xml:space="preserve"> 份，乙方执</w:t>
      </w:r>
      <w:r>
        <w:rPr>
          <w:rFonts w:hint="eastAsia" w:ascii="Times New Roman" w:hAnsi="Times New Roman" w:cs="Times New Roman"/>
          <w:sz w:val="24"/>
          <w:u w:val="single"/>
        </w:rPr>
        <w:t xml:space="preserve"> 贰 </w:t>
      </w:r>
      <w:r>
        <w:rPr>
          <w:rFonts w:hint="eastAsia" w:ascii="Times New Roman" w:hAnsi="Times New Roman" w:cs="Times New Roman"/>
          <w:sz w:val="24"/>
        </w:rPr>
        <w:t>份，具有同等法律效力。</w:t>
      </w:r>
    </w:p>
    <w:p>
      <w:pPr>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rPr>
          <w:rFonts w:ascii="Times New Roman" w:hAnsi="Times New Roman" w:cs="Times New Roman"/>
          <w:sz w:val="24"/>
        </w:rPr>
      </w:pPr>
    </w:p>
    <w:p>
      <w:pPr>
        <w:spacing w:line="440" w:lineRule="exact"/>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rPr>
          <w:rFonts w:ascii="Times New Roman" w:hAnsi="Times New Roman" w:cs="Times New Roman"/>
          <w:sz w:val="24"/>
        </w:rPr>
      </w:pPr>
    </w:p>
    <w:p>
      <w:pPr>
        <w:ind w:firstLine="435"/>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widowControl/>
        <w:jc w:val="left"/>
        <w:rPr>
          <w:rFonts w:ascii="Times New Roman" w:hAnsi="Times New Roman" w:cs="Times New Roman"/>
          <w:sz w:val="24"/>
        </w:rPr>
      </w:pPr>
      <w:bookmarkStart w:id="78" w:name="_Toc2101"/>
      <w:bookmarkStart w:id="79" w:name="_Toc26302_WPSOffice_Level2"/>
      <w:bookmarkStart w:id="80" w:name="_Toc17574"/>
      <w:bookmarkStart w:id="81" w:name="_Toc22922"/>
      <w:r>
        <w:rPr>
          <w:rFonts w:ascii="Times New Roman" w:hAnsi="Times New Roman" w:cs="Times New Roman"/>
          <w:sz w:val="24"/>
        </w:rPr>
        <w:br w:type="page"/>
      </w:r>
    </w:p>
    <w:p>
      <w:pPr>
        <w:spacing w:line="440" w:lineRule="exact"/>
        <w:rPr>
          <w:rFonts w:ascii="Times New Roman" w:hAnsi="Times New Roman" w:cs="Times New Roman"/>
          <w:sz w:val="24"/>
        </w:rPr>
      </w:pPr>
      <w:r>
        <w:rPr>
          <w:rFonts w:hint="eastAsia" w:ascii="Times New Roman" w:hAnsi="Times New Roman" w:cs="Times New Roman"/>
          <w:sz w:val="24"/>
        </w:rPr>
        <w:t>附件三：项目负责人委任书</w:t>
      </w:r>
      <w:bookmarkEnd w:id="78"/>
      <w:bookmarkEnd w:id="79"/>
      <w:bookmarkEnd w:id="80"/>
      <w:bookmarkEnd w:id="81"/>
    </w:p>
    <w:p>
      <w:pPr>
        <w:pStyle w:val="28"/>
        <w:spacing w:line="440" w:lineRule="exact"/>
        <w:rPr>
          <w:rFonts w:ascii="Times New Roman" w:hAnsi="Times New Roman" w:cs="Times New Roman" w:eastAsiaTheme="minorEastAsia"/>
          <w:sz w:val="24"/>
        </w:rPr>
      </w:pPr>
      <w:r>
        <w:rPr>
          <w:rFonts w:ascii="Times New Roman" w:hAnsi="Times New Roman" w:cs="Times New Roman" w:eastAsiaTheme="minorEastAsia"/>
          <w:sz w:val="24"/>
        </w:rPr>
        <w:t>(</w:t>
      </w:r>
      <w:r>
        <w:rPr>
          <w:rFonts w:hint="eastAsia" w:ascii="Times New Roman" w:hAnsi="Times New Roman" w:cs="Times New Roman" w:eastAsiaTheme="minorEastAsia"/>
          <w:sz w:val="24"/>
          <w:u w:val="single"/>
        </w:rPr>
        <w:t>承包人全称</w:t>
      </w:r>
      <w:r>
        <w:rPr>
          <w:rFonts w:ascii="Times New Roman" w:hAnsi="Times New Roman" w:cs="Times New Roman" w:eastAsiaTheme="minorEastAsia"/>
          <w:sz w:val="24"/>
        </w:rPr>
        <w:t>)</w:t>
      </w:r>
    </w:p>
    <w:p>
      <w:pPr>
        <w:pStyle w:val="28"/>
        <w:spacing w:line="440" w:lineRule="exact"/>
        <w:rPr>
          <w:rFonts w:ascii="Times New Roman" w:hAnsi="Times New Roman" w:cs="Times New Roman" w:eastAsiaTheme="minorEastAsia"/>
          <w:sz w:val="24"/>
        </w:rPr>
      </w:pPr>
      <w:r>
        <w:rPr>
          <w:rFonts w:hint="eastAsia" w:ascii="Times New Roman" w:hAnsi="Times New Roman" w:cs="Times New Roman" w:eastAsiaTheme="minorEastAsia"/>
          <w:sz w:val="24"/>
        </w:rPr>
        <w:t>青浦区华新镇华志路北侧23-01地块项目交通标识工程项目负责人委任书</w:t>
      </w:r>
    </w:p>
    <w:p>
      <w:pPr>
        <w:snapToGrid w:val="0"/>
        <w:spacing w:line="440" w:lineRule="exact"/>
        <w:ind w:firstLine="480"/>
        <w:rPr>
          <w:rFonts w:ascii="Times New Roman" w:hAnsi="Times New Roman" w:cs="Times New Roman"/>
          <w:sz w:val="24"/>
        </w:rPr>
      </w:pPr>
    </w:p>
    <w:p>
      <w:pPr>
        <w:snapToGrid w:val="0"/>
        <w:spacing w:line="440" w:lineRule="exact"/>
        <w:ind w:firstLine="480"/>
        <w:rPr>
          <w:rFonts w:ascii="Times New Roman" w:hAnsi="Times New Roman" w:cs="Times New Roman"/>
          <w:sz w:val="24"/>
        </w:rPr>
      </w:pPr>
    </w:p>
    <w:p>
      <w:pPr>
        <w:spacing w:line="440" w:lineRule="exact"/>
        <w:rPr>
          <w:rFonts w:ascii="Times New Roman" w:hAnsi="Times New Roman" w:cs="Times New Roman"/>
          <w:sz w:val="24"/>
          <w:u w:val="single"/>
        </w:rPr>
      </w:pPr>
      <w:r>
        <w:rPr>
          <w:rFonts w:hint="eastAsia" w:ascii="Times New Roman" w:hAnsi="Times New Roman" w:cs="Times New Roman"/>
          <w:sz w:val="24"/>
        </w:rPr>
        <w:t>致：</w:t>
      </w:r>
      <w:r>
        <w:rPr>
          <w:rFonts w:hint="eastAsia" w:ascii="Times New Roman" w:hAnsi="Times New Roman" w:cs="Times New Roman"/>
          <w:sz w:val="24"/>
          <w:u w:val="single"/>
        </w:rPr>
        <w:t>上海迈信房地产开发有限公司</w:t>
      </w:r>
    </w:p>
    <w:p>
      <w:pPr>
        <w:spacing w:line="440" w:lineRule="exact"/>
        <w:ind w:firstLine="616" w:firstLineChars="257"/>
        <w:rPr>
          <w:rFonts w:ascii="Times New Roman" w:hAnsi="Times New Roman" w:cs="Times New Roman"/>
          <w:sz w:val="24"/>
        </w:rPr>
      </w:pPr>
      <w:r>
        <w:rPr>
          <w:rFonts w:ascii="Times New Roman" w:hAnsi="Times New Roman" w:cs="Times New Roman"/>
          <w:sz w:val="24"/>
          <w:u w:val="single"/>
        </w:rPr>
        <w:t xml:space="preserve">  (</w:t>
      </w:r>
      <w:r>
        <w:rPr>
          <w:rFonts w:hint="eastAsia" w:ascii="Times New Roman" w:hAnsi="Times New Roman" w:cs="Times New Roman"/>
          <w:sz w:val="24"/>
          <w:u w:val="single"/>
        </w:rPr>
        <w:t>承包人全称</w:t>
      </w:r>
      <w:r>
        <w:rPr>
          <w:rFonts w:ascii="Times New Roman" w:hAnsi="Times New Roman" w:cs="Times New Roman"/>
          <w:sz w:val="24"/>
          <w:u w:val="single"/>
        </w:rPr>
        <w:t xml:space="preserve">) </w:t>
      </w: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代表本单位委任</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为青浦区华新镇华志路北侧23-01地块项目交通标识工程的项目负责人。凡本合同执行中的有关技术、工程进度、现场管理、质量检验、结算与支付等方面工作，由</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r>
        <w:rPr>
          <w:rFonts w:hint="eastAsia" w:ascii="Times New Roman" w:hAnsi="Times New Roman" w:cs="Times New Roman"/>
          <w:sz w:val="24"/>
        </w:rPr>
        <w:t>代表本单位全面负责。</w:t>
      </w:r>
    </w:p>
    <w:p>
      <w:pPr>
        <w:spacing w:line="440" w:lineRule="exact"/>
        <w:ind w:firstLine="616" w:firstLineChars="257"/>
        <w:rPr>
          <w:rFonts w:ascii="Times New Roman" w:hAnsi="Times New Roman" w:cs="Times New Roman"/>
          <w:sz w:val="24"/>
        </w:rPr>
      </w:pPr>
    </w:p>
    <w:p>
      <w:pPr>
        <w:snapToGrid w:val="0"/>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napToGrid w:val="0"/>
        <w:spacing w:line="440" w:lineRule="exact"/>
        <w:ind w:firstLine="2400" w:firstLineChars="1000"/>
        <w:jc w:val="left"/>
        <w:rPr>
          <w:rFonts w:ascii="Times New Roman" w:hAnsi="Times New Roman" w:cs="Times New Roman"/>
          <w:sz w:val="24"/>
          <w:u w:val="single"/>
        </w:rPr>
      </w:pP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p>
    <w:p>
      <w:pPr>
        <w:snapToGrid w:val="0"/>
        <w:spacing w:line="4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签名</w:t>
      </w:r>
      <w:r>
        <w:rPr>
          <w:rFonts w:ascii="Times New Roman" w:hAnsi="Times New Roman" w:cs="Times New Roman"/>
          <w:sz w:val="24"/>
          <w:u w:val="single"/>
        </w:rPr>
        <w:t xml:space="preserve">)   </w:t>
      </w:r>
    </w:p>
    <w:p>
      <w:pPr>
        <w:snapToGrid w:val="0"/>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14"/>
        <w:tabs>
          <w:tab w:val="clear" w:pos="4153"/>
          <w:tab w:val="clear" w:pos="8306"/>
        </w:tabs>
        <w:spacing w:line="440" w:lineRule="exact"/>
        <w:ind w:firstLine="420"/>
        <w:rPr>
          <w:rFonts w:ascii="Times New Roman" w:hAnsi="Times New Roman" w:cs="Times New Roman"/>
          <w:sz w:val="24"/>
        </w:rPr>
      </w:pPr>
      <w:r>
        <w:rPr>
          <w:rFonts w:ascii="Times New Roman" w:hAnsi="Times New Roman" w:cs="Times New Roman"/>
          <w:sz w:val="24"/>
        </w:rPr>
        <w:t xml:space="preserve">  </w:t>
      </w:r>
    </w:p>
    <w:p>
      <w:pPr>
        <w:pStyle w:val="14"/>
        <w:tabs>
          <w:tab w:val="clear" w:pos="4153"/>
          <w:tab w:val="clear" w:pos="8306"/>
        </w:tabs>
        <w:spacing w:line="440" w:lineRule="exact"/>
        <w:ind w:firstLine="420"/>
        <w:rPr>
          <w:rFonts w:ascii="Times New Roman" w:hAnsi="Times New Roman" w:cs="Times New Roman"/>
          <w:sz w:val="24"/>
        </w:rPr>
      </w:pPr>
    </w:p>
    <w:p>
      <w:pPr>
        <w:pStyle w:val="14"/>
        <w:tabs>
          <w:tab w:val="clear" w:pos="4153"/>
          <w:tab w:val="clear" w:pos="8306"/>
        </w:tabs>
        <w:spacing w:line="440" w:lineRule="exact"/>
        <w:ind w:firstLine="420"/>
        <w:rPr>
          <w:rFonts w:ascii="Times New Roman" w:hAnsi="Times New Roman" w:cs="Times New Roman"/>
          <w:sz w:val="24"/>
        </w:rPr>
      </w:pPr>
    </w:p>
    <w:p>
      <w:pPr>
        <w:pStyle w:val="14"/>
        <w:tabs>
          <w:tab w:val="clear" w:pos="4153"/>
          <w:tab w:val="clear" w:pos="8306"/>
        </w:tabs>
        <w:spacing w:line="440" w:lineRule="exact"/>
        <w:ind w:firstLine="420"/>
        <w:rPr>
          <w:rFonts w:ascii="Times New Roman" w:hAnsi="Times New Roman" w:cs="Times New Roman"/>
          <w:sz w:val="24"/>
        </w:rPr>
      </w:pPr>
    </w:p>
    <w:p>
      <w:pPr>
        <w:pStyle w:val="14"/>
        <w:tabs>
          <w:tab w:val="clear" w:pos="4153"/>
          <w:tab w:val="clear" w:pos="8306"/>
        </w:tabs>
        <w:spacing w:line="440" w:lineRule="exact"/>
        <w:ind w:firstLine="420"/>
        <w:rPr>
          <w:rFonts w:ascii="Times New Roman" w:hAnsi="Times New Roman" w:cs="Times New Roman"/>
          <w:sz w:val="24"/>
        </w:rPr>
      </w:pPr>
    </w:p>
    <w:p>
      <w:pPr>
        <w:snapToGrid w:val="0"/>
        <w:spacing w:line="440" w:lineRule="exact"/>
        <w:rPr>
          <w:rFonts w:ascii="Times New Roman" w:hAnsi="Times New Roman" w:cs="Times New Roman"/>
          <w:sz w:val="24"/>
        </w:rPr>
      </w:pPr>
    </w:p>
    <w:p>
      <w:pPr>
        <w:snapToGrid w:val="0"/>
        <w:spacing w:line="440" w:lineRule="exact"/>
        <w:rPr>
          <w:rFonts w:ascii="Times New Roman" w:hAnsi="Times New Roman" w:cs="Times New Roman"/>
          <w:sz w:val="24"/>
        </w:rPr>
      </w:pPr>
      <w:r>
        <w:rPr>
          <w:rFonts w:ascii="Times New Roman" w:hAnsi="Times New Roman" w:cs="Times New Roman"/>
          <w:sz w:val="24"/>
        </w:rPr>
        <w:br w:type="page"/>
      </w:r>
    </w:p>
    <w:p>
      <w:pPr>
        <w:pStyle w:val="4"/>
        <w:numPr>
          <w:ilvl w:val="0"/>
          <w:numId w:val="0"/>
        </w:numPr>
        <w:spacing w:before="120" w:line="440" w:lineRule="exact"/>
        <w:rPr>
          <w:rStyle w:val="30"/>
          <w:rFonts w:ascii="Times New Roman" w:hAnsi="Times New Roman" w:cs="Times New Roman"/>
          <w:b/>
          <w:bCs/>
          <w:sz w:val="24"/>
          <w:szCs w:val="24"/>
        </w:rPr>
      </w:pPr>
      <w:bookmarkStart w:id="82" w:name="_Toc23501_WPSOffice_Level2"/>
      <w:r>
        <w:rPr>
          <w:rFonts w:hint="eastAsia" w:ascii="Times New Roman" w:hAnsi="Times New Roman" w:cs="Times New Roman"/>
          <w:sz w:val="24"/>
          <w:szCs w:val="24"/>
        </w:rPr>
        <w:t>附件四：履约保证金格式</w:t>
      </w:r>
      <w:bookmarkEnd w:id="82"/>
      <w:r>
        <w:rPr>
          <w:rFonts w:ascii="Times New Roman" w:hAnsi="Times New Roman" w:cs="Times New Roman"/>
          <w:sz w:val="24"/>
          <w:szCs w:val="24"/>
        </w:rPr>
        <w:t>(</w:t>
      </w:r>
      <w:r>
        <w:rPr>
          <w:rFonts w:hint="eastAsia" w:ascii="Times New Roman" w:hAnsi="Times New Roman" w:cs="Times New Roman"/>
          <w:sz w:val="24"/>
          <w:szCs w:val="24"/>
        </w:rPr>
        <w:t>如有</w:t>
      </w:r>
      <w:r>
        <w:rPr>
          <w:rFonts w:ascii="Times New Roman" w:hAnsi="Times New Roman" w:cs="Times New Roman"/>
          <w:sz w:val="24"/>
          <w:szCs w:val="24"/>
        </w:rPr>
        <w:t>)</w:t>
      </w:r>
    </w:p>
    <w:p>
      <w:pPr>
        <w:snapToGrid w:val="0"/>
        <w:spacing w:line="440" w:lineRule="exact"/>
        <w:rPr>
          <w:rFonts w:ascii="Times New Roman" w:hAnsi="Times New Roman" w:cs="Times New Roman"/>
          <w:sz w:val="24"/>
        </w:rPr>
      </w:pPr>
      <w:r>
        <w:rPr>
          <w:rFonts w:hint="eastAsia" w:ascii="Times New Roman" w:hAnsi="Times New Roman" w:cs="Times New Roman"/>
          <w:sz w:val="24"/>
        </w:rPr>
        <w:t>如采用银行保函，格式如下。</w:t>
      </w:r>
    </w:p>
    <w:p>
      <w:pPr>
        <w:spacing w:line="440" w:lineRule="exact"/>
        <w:ind w:firstLine="2880" w:firstLineChars="1200"/>
        <w:rPr>
          <w:rFonts w:ascii="Times New Roman" w:hAnsi="Times New Roman" w:cs="Times New Roman"/>
          <w:sz w:val="24"/>
        </w:rPr>
      </w:pPr>
    </w:p>
    <w:p>
      <w:pPr>
        <w:spacing w:line="440" w:lineRule="exact"/>
        <w:ind w:firstLine="480"/>
        <w:jc w:val="center"/>
        <w:rPr>
          <w:rFonts w:ascii="Times New Roman" w:hAnsi="Times New Roman" w:cs="Times New Roman"/>
          <w:sz w:val="24"/>
        </w:rPr>
      </w:pPr>
      <w:r>
        <w:rPr>
          <w:rFonts w:hint="eastAsia" w:ascii="Times New Roman" w:hAnsi="Times New Roman" w:cs="Times New Roman"/>
          <w:sz w:val="24"/>
        </w:rPr>
        <w:t>履</w:t>
      </w:r>
      <w:r>
        <w:rPr>
          <w:rFonts w:ascii="Times New Roman" w:hAnsi="Times New Roman" w:cs="Times New Roman"/>
          <w:sz w:val="24"/>
        </w:rPr>
        <w:t xml:space="preserve"> </w:t>
      </w:r>
      <w:r>
        <w:rPr>
          <w:rFonts w:hint="eastAsia" w:ascii="Times New Roman" w:hAnsi="Times New Roman" w:cs="Times New Roman"/>
          <w:sz w:val="24"/>
        </w:rPr>
        <w:t>约</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证</w:t>
      </w:r>
      <w:r>
        <w:rPr>
          <w:rFonts w:ascii="Times New Roman" w:hAnsi="Times New Roman" w:cs="Times New Roman"/>
          <w:sz w:val="24"/>
        </w:rPr>
        <w:t xml:space="preserve"> </w:t>
      </w:r>
      <w:r>
        <w:rPr>
          <w:rFonts w:hint="eastAsia" w:ascii="Times New Roman" w:hAnsi="Times New Roman" w:cs="Times New Roman"/>
          <w:sz w:val="24"/>
        </w:rPr>
        <w:t>金</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w:t>
      </w:r>
      <w:r>
        <w:rPr>
          <w:rFonts w:ascii="Times New Roman" w:hAnsi="Times New Roman" w:cs="Times New Roman"/>
          <w:sz w:val="24"/>
        </w:rPr>
        <w:t>)</w:t>
      </w:r>
      <w:r>
        <w:rPr>
          <w:rFonts w:hint="eastAsia" w:ascii="Times New Roman" w:hAnsi="Times New Roman" w:cs="Times New Roman"/>
          <w:sz w:val="24"/>
        </w:rPr>
        <w:t>：</w:t>
      </w:r>
    </w:p>
    <w:p>
      <w:pPr>
        <w:spacing w:line="440" w:lineRule="exact"/>
        <w:rPr>
          <w:rFonts w:ascii="Times New Roman" w:hAnsi="Times New Roman" w:cs="Times New Roman"/>
          <w:sz w:val="24"/>
        </w:rPr>
      </w:pPr>
    </w:p>
    <w:p>
      <w:pPr>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鉴于</w:t>
      </w:r>
      <w:r>
        <w:rPr>
          <w:rFonts w:ascii="Times New Roman" w:hAnsi="Times New Roman" w:cs="Times New Roman"/>
          <w:sz w:val="24"/>
          <w:u w:val="single"/>
        </w:rPr>
        <w:t xml:space="preserve">    </w:t>
      </w:r>
      <w:r>
        <w:rPr>
          <w:rFonts w:hint="eastAsia" w:ascii="Times New Roman" w:hAnsi="Times New Roman" w:cs="Times New Roman"/>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发包人名称，以下简称</w:t>
      </w:r>
      <w:r>
        <w:rPr>
          <w:rFonts w:ascii="Times New Roman" w:hAnsi="Times New Roman" w:cs="Times New Roman"/>
          <w:sz w:val="24"/>
        </w:rPr>
        <w:t>“</w:t>
      </w:r>
      <w:r>
        <w:rPr>
          <w:rFonts w:hint="eastAsia" w:ascii="Times New Roman" w:hAnsi="Times New Roman" w:cs="Times New Roman"/>
          <w:sz w:val="24"/>
        </w:rPr>
        <w:t>发包人</w:t>
      </w:r>
      <w:r>
        <w:rPr>
          <w:rFonts w:ascii="Times New Roman" w:hAnsi="Times New Roman" w:cs="Times New Roman"/>
          <w:sz w:val="24"/>
        </w:rPr>
        <w:t>”)</w:t>
      </w:r>
      <w:r>
        <w:rPr>
          <w:rFonts w:hint="eastAsia" w:ascii="Times New Roman" w:hAnsi="Times New Roman" w:cs="Times New Roman"/>
          <w:sz w:val="24"/>
        </w:rPr>
        <w:t>接受</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承包人名称</w:t>
      </w:r>
      <w:r>
        <w:rPr>
          <w:rFonts w:ascii="Times New Roman" w:hAnsi="Times New Roman" w:cs="Times New Roman"/>
          <w:sz w:val="24"/>
        </w:rPr>
        <w:t>)(</w:t>
      </w:r>
      <w:r>
        <w:rPr>
          <w:rFonts w:hint="eastAsia" w:ascii="Times New Roman" w:hAnsi="Times New Roman" w:cs="Times New Roman"/>
          <w:sz w:val="24"/>
        </w:rPr>
        <w:t>以下称</w:t>
      </w:r>
      <w:r>
        <w:rPr>
          <w:rFonts w:ascii="Times New Roman" w:hAnsi="Times New Roman" w:cs="Times New Roman"/>
          <w:sz w:val="24"/>
        </w:rPr>
        <w:t>“</w:t>
      </w:r>
      <w:r>
        <w:rPr>
          <w:rFonts w:hint="eastAsia" w:ascii="Times New Roman" w:hAnsi="Times New Roman" w:cs="Times New Roman"/>
          <w:sz w:val="24"/>
        </w:rPr>
        <w:t>承包人</w:t>
      </w:r>
      <w:r>
        <w:rPr>
          <w:rFonts w:ascii="Times New Roman" w:hAnsi="Times New Roman" w:cs="Times New Roman"/>
          <w:sz w:val="24"/>
        </w:rPr>
        <w:t>”)</w:t>
      </w:r>
      <w:r>
        <w:rPr>
          <w:rFonts w:hint="eastAsia" w:ascii="Times New Roman" w:hAnsi="Times New Roman" w:cs="Times New Roman"/>
          <w:sz w:val="24"/>
        </w:rPr>
        <w:t>于</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日参加</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项目名称</w:t>
      </w:r>
      <w:r>
        <w:rPr>
          <w:rFonts w:ascii="Times New Roman" w:hAnsi="Times New Roman" w:cs="Times New Roman"/>
          <w:sz w:val="24"/>
        </w:rPr>
        <w:t>)</w:t>
      </w:r>
      <w:r>
        <w:rPr>
          <w:rFonts w:hint="eastAsia" w:ascii="Times New Roman" w:hAnsi="Times New Roman" w:cs="Times New Roman"/>
          <w:sz w:val="24"/>
        </w:rPr>
        <w:t>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担保金额人民币</w:t>
      </w:r>
      <w:r>
        <w:rPr>
          <w:rFonts w:ascii="Times New Roman" w:hAnsi="Times New Roman" w:cs="Times New Roman"/>
          <w:sz w:val="24"/>
        </w:rPr>
        <w:t>(</w:t>
      </w:r>
      <w:r>
        <w:rPr>
          <w:rFonts w:hint="eastAsia"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担保有效期自发包人与承包人签订的合同生效之日起至发包人签发竣工验收证书且承包人按照合同约定缴纳质量保证金之日止。</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在本担保有效期内，因承包人违反合同约定的义务给你方造成经济损失时，我方在收到你方以书面形式提出的在担保金额内的赔偿要求后，在</w:t>
      </w:r>
      <w:r>
        <w:rPr>
          <w:rFonts w:ascii="Times New Roman" w:hAnsi="Times New Roman" w:cs="Times New Roman"/>
          <w:sz w:val="24"/>
        </w:rPr>
        <w:t>7</w:t>
      </w:r>
      <w:r>
        <w:rPr>
          <w:rFonts w:hint="eastAsia" w:ascii="Times New Roman" w:hAnsi="Times New Roman" w:cs="Times New Roman"/>
          <w:sz w:val="24"/>
        </w:rPr>
        <w:t>天内无条件支付，无须你方出具证明或陈述理由。</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发包人和承包人进行变更合同时，无论我方是否收到该变更，我方承担本担保规定的义务不变。</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担</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人</w:t>
      </w:r>
      <w:r>
        <w:rPr>
          <w:rFonts w:ascii="Times New Roman" w:hAnsi="Times New Roman" w:cs="Times New Roman"/>
          <w:sz w:val="24"/>
        </w:rPr>
        <w:t xml:space="preserve"> </w:t>
      </w:r>
      <w:r>
        <w:rPr>
          <w:rFonts w:hint="eastAsia" w:ascii="Times New Roman" w:hAnsi="Times New Roman" w:cs="Times New Roman"/>
          <w:sz w:val="24"/>
        </w:rPr>
        <w:t>名</w:t>
      </w:r>
      <w:r>
        <w:rPr>
          <w:rFonts w:ascii="Times New Roman" w:hAnsi="Times New Roman" w:cs="Times New Roman"/>
          <w:sz w:val="24"/>
        </w:rPr>
        <w:t xml:space="preserve"> </w:t>
      </w:r>
      <w:r>
        <w:rPr>
          <w:rFonts w:hint="eastAsia" w:ascii="Times New Roman" w:hAnsi="Times New Roman" w:cs="Times New Roman"/>
          <w:sz w:val="24"/>
        </w:rPr>
        <w:t>称：</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地</w:t>
      </w:r>
      <w:r>
        <w:rPr>
          <w:rFonts w:ascii="Times New Roman" w:hAnsi="Times New Roman" w:cs="Times New Roman"/>
          <w:sz w:val="24"/>
        </w:rPr>
        <w:t xml:space="preserve">    </w:t>
      </w:r>
      <w:r>
        <w:rPr>
          <w:rFonts w:hint="eastAsia" w:ascii="Times New Roman" w:hAnsi="Times New Roman" w:cs="Times New Roman"/>
          <w:sz w:val="24"/>
        </w:rPr>
        <w:t>址：</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邮政编码：</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电</w:t>
      </w:r>
      <w:r>
        <w:rPr>
          <w:rFonts w:ascii="Times New Roman" w:hAnsi="Times New Roman" w:cs="Times New Roman"/>
          <w:sz w:val="24"/>
        </w:rPr>
        <w:t xml:space="preserve">    </w:t>
      </w:r>
      <w:r>
        <w:rPr>
          <w:rFonts w:hint="eastAsia" w:ascii="Times New Roman" w:hAnsi="Times New Roman" w:cs="Times New Roman"/>
          <w:sz w:val="24"/>
        </w:rPr>
        <w:t>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传</w:t>
      </w:r>
      <w:r>
        <w:rPr>
          <w:rFonts w:ascii="Times New Roman" w:hAnsi="Times New Roman" w:cs="Times New Roman"/>
          <w:sz w:val="24"/>
        </w:rPr>
        <w:t xml:space="preserve">    </w:t>
      </w:r>
      <w:r>
        <w:rPr>
          <w:rFonts w:hint="eastAsia" w:ascii="Times New Roman" w:hAnsi="Times New Roman" w:cs="Times New Roman"/>
          <w:sz w:val="24"/>
        </w:rPr>
        <w:t>真：</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4216" w:firstLineChars="1757"/>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2"/>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page"/>
      </w:r>
    </w:p>
    <w:p>
      <w:pPr>
        <w:pStyle w:val="29"/>
        <w:spacing w:line="440" w:lineRule="exact"/>
        <w:rPr>
          <w:rFonts w:cs="Times New Roman"/>
          <w:sz w:val="24"/>
        </w:rPr>
      </w:pPr>
      <w:r>
        <w:rPr>
          <w:rFonts w:hint="eastAsia" w:cs="Times New Roman"/>
          <w:b/>
          <w:bCs/>
          <w:sz w:val="24"/>
        </w:rPr>
        <w:t>附件五：工程质量保修书</w:t>
      </w:r>
    </w:p>
    <w:p>
      <w:pPr>
        <w:pStyle w:val="29"/>
        <w:spacing w:line="440" w:lineRule="exact"/>
        <w:ind w:firstLine="480" w:firstLineChars="200"/>
        <w:rPr>
          <w:rFonts w:cs="Times New Roman"/>
          <w:sz w:val="24"/>
        </w:rPr>
      </w:pPr>
      <w:r>
        <w:rPr>
          <w:rFonts w:hint="eastAsia" w:cs="Times New Roman"/>
          <w:sz w:val="24"/>
        </w:rPr>
        <w:t>发包人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上海迈信房地产开发有限公司</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承包人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 xml:space="preserve">                                  </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发包人和承包人根据《中华人民共和国建筑法》和《建设工程质量管理条例》，经协商一致就</w:t>
      </w:r>
      <w:r>
        <w:rPr>
          <w:rFonts w:cs="Times New Roman"/>
          <w:sz w:val="24"/>
          <w:u w:val="single"/>
        </w:rPr>
        <w:t xml:space="preserve"> </w:t>
      </w:r>
      <w:r>
        <w:rPr>
          <w:rFonts w:hint="eastAsia" w:cs="Times New Roman"/>
          <w:sz w:val="24"/>
          <w:u w:val="single"/>
        </w:rPr>
        <w:t xml:space="preserve">青浦区华新镇华志路北侧23-01地块项目交通标识工程 </w:t>
      </w:r>
      <w:r>
        <w:rPr>
          <w:rFonts w:hint="eastAsia" w:cs="Times New Roman"/>
          <w:sz w:val="24"/>
        </w:rPr>
        <w:t>订立工程质量保修书。</w:t>
      </w:r>
    </w:p>
    <w:p>
      <w:pPr>
        <w:pStyle w:val="29"/>
        <w:spacing w:line="440" w:lineRule="exact"/>
        <w:ind w:firstLine="480" w:firstLineChars="200"/>
        <w:rPr>
          <w:rFonts w:cs="Times New Roman"/>
          <w:sz w:val="24"/>
        </w:rPr>
      </w:pPr>
      <w:r>
        <w:rPr>
          <w:rFonts w:hint="eastAsia" w:cs="Times New Roman"/>
          <w:sz w:val="24"/>
        </w:rPr>
        <w:t>一、工程质量保修范围和内容</w:t>
      </w:r>
    </w:p>
    <w:p>
      <w:pPr>
        <w:pStyle w:val="29"/>
        <w:spacing w:line="440" w:lineRule="exact"/>
        <w:ind w:firstLine="480" w:firstLineChars="200"/>
        <w:rPr>
          <w:rFonts w:cs="Times New Roman"/>
          <w:sz w:val="24"/>
        </w:rPr>
      </w:pPr>
      <w:r>
        <w:rPr>
          <w:rFonts w:hint="eastAsia" w:cs="Times New Roman"/>
          <w:sz w:val="24"/>
        </w:rPr>
        <w:t>承包人在质量保修期内，按照有关法律规定和合同约定，承担工程质量保修责任。</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imes New Roman" w:hAnsi="Times New Roman" w:cs="Times New Roman"/>
          <w:sz w:val="24"/>
        </w:rPr>
        <w:t xml:space="preserve"> </w:t>
      </w:r>
    </w:p>
    <w:p>
      <w:pPr>
        <w:pStyle w:val="29"/>
        <w:spacing w:line="440" w:lineRule="exact"/>
        <w:ind w:firstLine="480" w:firstLineChars="200"/>
        <w:rPr>
          <w:rFonts w:cs="Times New Roman"/>
          <w:sz w:val="24"/>
        </w:rPr>
      </w:pPr>
      <w:r>
        <w:rPr>
          <w:rFonts w:hint="eastAsia" w:cs="Times New Roman"/>
          <w:sz w:val="24"/>
        </w:rPr>
        <w:t>二、质量保修期</w:t>
      </w:r>
    </w:p>
    <w:p>
      <w:pPr>
        <w:pStyle w:val="29"/>
        <w:spacing w:line="440" w:lineRule="exact"/>
        <w:ind w:firstLine="480" w:firstLineChars="200"/>
        <w:rPr>
          <w:rFonts w:cs="Times New Roman"/>
          <w:sz w:val="24"/>
        </w:rPr>
      </w:pPr>
      <w:r>
        <w:rPr>
          <w:rFonts w:hint="eastAsia" w:cs="Times New Roman"/>
          <w:sz w:val="24"/>
        </w:rPr>
        <w:t>根据《建设工程质量管理条例》及有关规定，工程的质量保修期如下：</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．屋面防水工程、有防水要求的卫生间、房间和外墙面的防渗为</w:t>
      </w:r>
      <w:r>
        <w:rPr>
          <w:rFonts w:cs="Times New Roman"/>
          <w:sz w:val="24"/>
          <w:u w:val="single"/>
        </w:rPr>
        <w:t xml:space="preserve"> </w:t>
      </w:r>
      <w:r>
        <w:rPr>
          <w:rFonts w:hint="eastAsia" w:cs="Times New Roman"/>
          <w:sz w:val="24"/>
          <w:u w:val="single"/>
        </w:rPr>
        <w:t>五</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．装修工程为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．电气管线、给排水管道、设备安装工程为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5</w:t>
      </w:r>
      <w:r>
        <w:rPr>
          <w:rFonts w:hint="eastAsia" w:cs="Times New Roman"/>
          <w:sz w:val="24"/>
        </w:rPr>
        <w:t>．供热与供冷系统为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个采暖期、供冷期；</w:t>
      </w:r>
    </w:p>
    <w:p>
      <w:pPr>
        <w:pStyle w:val="29"/>
        <w:spacing w:line="440" w:lineRule="exact"/>
        <w:ind w:firstLine="480" w:firstLineChars="200"/>
        <w:rPr>
          <w:rFonts w:cs="Times New Roman"/>
          <w:sz w:val="24"/>
        </w:rPr>
      </w:pPr>
      <w:r>
        <w:rPr>
          <w:rFonts w:cs="Times New Roman"/>
          <w:sz w:val="24"/>
        </w:rPr>
        <w:t>6</w:t>
      </w:r>
      <w:r>
        <w:rPr>
          <w:rFonts w:hint="eastAsia" w:cs="Times New Roman"/>
          <w:sz w:val="24"/>
        </w:rPr>
        <w:t>．住宅小区内的给排水设施、道路等配套工程为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7</w:t>
      </w:r>
      <w:r>
        <w:rPr>
          <w:rFonts w:hint="eastAsia" w:cs="Times New Roman"/>
          <w:sz w:val="24"/>
        </w:rPr>
        <w:t>．其他项目保修期限约定如下：</w:t>
      </w:r>
      <w:r>
        <w:rPr>
          <w:rFonts w:cs="Times New Roman"/>
          <w:sz w:val="24"/>
          <w:u w:val="single"/>
        </w:rPr>
        <w:t xml:space="preserve">  </w:t>
      </w:r>
      <w:r>
        <w:rPr>
          <w:rFonts w:hint="eastAsia" w:cs="Times New Roman"/>
          <w:sz w:val="24"/>
          <w:u w:val="single"/>
        </w:rPr>
        <w:t>二年</w:t>
      </w:r>
      <w:r>
        <w:rPr>
          <w:rFonts w:cs="Times New Roman"/>
          <w:sz w:val="24"/>
          <w:u w:val="single"/>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质量保修期自工程竣工验收合格之日起计算。</w:t>
      </w:r>
    </w:p>
    <w:p>
      <w:pPr>
        <w:pStyle w:val="29"/>
        <w:spacing w:line="440" w:lineRule="exact"/>
        <w:ind w:firstLine="480" w:firstLineChars="200"/>
        <w:rPr>
          <w:rFonts w:cs="Times New Roman"/>
          <w:sz w:val="24"/>
        </w:rPr>
      </w:pPr>
      <w:r>
        <w:rPr>
          <w:rFonts w:hint="eastAsia" w:cs="Times New Roman"/>
          <w:sz w:val="24"/>
        </w:rPr>
        <w:t>三、缺陷责任期</w:t>
      </w:r>
    </w:p>
    <w:p>
      <w:pPr>
        <w:pStyle w:val="29"/>
        <w:spacing w:line="440" w:lineRule="exact"/>
        <w:ind w:firstLine="480" w:firstLineChars="200"/>
        <w:rPr>
          <w:rFonts w:cs="Times New Roman"/>
          <w:sz w:val="24"/>
        </w:rPr>
      </w:pPr>
      <w:r>
        <w:rPr>
          <w:rFonts w:hint="eastAsia" w:cs="Times New Roman"/>
          <w:sz w:val="24"/>
        </w:rPr>
        <w:t>工程缺陷责任期为</w:t>
      </w:r>
      <w:r>
        <w:rPr>
          <w:rFonts w:cs="Times New Roman"/>
          <w:sz w:val="24"/>
          <w:u w:val="single"/>
        </w:rPr>
        <w:t xml:space="preserve">  24  </w:t>
      </w:r>
      <w:r>
        <w:rPr>
          <w:rFonts w:hint="eastAsia" w:cs="Times New Roman"/>
          <w:sz w:val="24"/>
        </w:rPr>
        <w:t>个月，缺陷责任期自工程通过竣工验收之日起计算。单位</w:t>
      </w:r>
      <w:r>
        <w:rPr>
          <w:rFonts w:cs="Times New Roman"/>
          <w:sz w:val="24"/>
        </w:rPr>
        <w:t>/</w:t>
      </w:r>
      <w:r>
        <w:rPr>
          <w:rFonts w:hint="eastAsia" w:cs="Times New Roman"/>
          <w:sz w:val="24"/>
        </w:rPr>
        <w:t>区段工程先于全部工程进行验收，单位</w:t>
      </w:r>
      <w:r>
        <w:rPr>
          <w:rFonts w:cs="Times New Roman"/>
          <w:sz w:val="24"/>
        </w:rPr>
        <w:t>/</w:t>
      </w:r>
      <w:r>
        <w:rPr>
          <w:rFonts w:hint="eastAsia" w:cs="Times New Roman"/>
          <w:sz w:val="24"/>
        </w:rPr>
        <w:t>区段工程缺陷责任期自单位</w:t>
      </w:r>
      <w:r>
        <w:rPr>
          <w:rFonts w:cs="Times New Roman"/>
          <w:sz w:val="24"/>
        </w:rPr>
        <w:t>/</w:t>
      </w:r>
      <w:r>
        <w:rPr>
          <w:rFonts w:hint="eastAsia" w:cs="Times New Roman"/>
          <w:sz w:val="24"/>
        </w:rPr>
        <w:t>区段工程验收合格之日起算。</w:t>
      </w:r>
    </w:p>
    <w:p>
      <w:pPr>
        <w:pStyle w:val="29"/>
        <w:spacing w:line="440" w:lineRule="exact"/>
        <w:ind w:firstLine="480" w:firstLineChars="200"/>
        <w:rPr>
          <w:rFonts w:cs="Times New Roman"/>
          <w:sz w:val="24"/>
        </w:rPr>
      </w:pPr>
      <w:r>
        <w:rPr>
          <w:rFonts w:hint="eastAsia" w:cs="Times New Roman"/>
          <w:sz w:val="24"/>
        </w:rPr>
        <w:t>缺陷责任期终止后，发包人应返还剩余的质量保证金。</w:t>
      </w:r>
    </w:p>
    <w:p>
      <w:pPr>
        <w:pStyle w:val="29"/>
        <w:spacing w:line="440" w:lineRule="exact"/>
        <w:ind w:firstLine="480" w:firstLineChars="200"/>
        <w:rPr>
          <w:rFonts w:cs="Times New Roman"/>
          <w:sz w:val="24"/>
        </w:rPr>
      </w:pPr>
      <w:r>
        <w:rPr>
          <w:rFonts w:hint="eastAsia" w:cs="Times New Roman"/>
          <w:sz w:val="24"/>
        </w:rPr>
        <w:t>四、质量保修责任</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．属于保修范围、内容的项目，承包人应当在接到保修通知之日起</w:t>
      </w:r>
      <w:r>
        <w:rPr>
          <w:rFonts w:cs="Times New Roman"/>
          <w:sz w:val="24"/>
        </w:rPr>
        <w:t>7</w:t>
      </w:r>
      <w:r>
        <w:rPr>
          <w:rFonts w:hint="eastAsia" w:cs="Times New Roman"/>
          <w:sz w:val="24"/>
        </w:rPr>
        <w:t>天内派人保修。承包人不在约定期限内派人保修的，发包人可以委托他人修理。</w:t>
      </w:r>
    </w:p>
    <w:p>
      <w:pPr>
        <w:pStyle w:val="29"/>
        <w:spacing w:line="440" w:lineRule="exact"/>
        <w:ind w:firstLine="480" w:firstLineChars="200"/>
        <w:rPr>
          <w:rFonts w:cs="Times New Roman"/>
          <w:sz w:val="24"/>
        </w:rPr>
      </w:pPr>
      <w:r>
        <w:rPr>
          <w:rFonts w:cs="Times New Roman"/>
          <w:sz w:val="24"/>
        </w:rPr>
        <w:t>2</w:t>
      </w:r>
      <w:r>
        <w:rPr>
          <w:rFonts w:hint="eastAsia" w:cs="Times New Roman"/>
          <w:sz w:val="24"/>
        </w:rPr>
        <w:t>．发生紧急事故需抢修的，承包人在接到事故通知后，应当立即到达事故现场抢修。</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．质量保修完成后，由发包人组织验收。</w:t>
      </w:r>
    </w:p>
    <w:p>
      <w:pPr>
        <w:pStyle w:val="29"/>
        <w:spacing w:line="440" w:lineRule="exact"/>
        <w:ind w:firstLine="480" w:firstLineChars="200"/>
        <w:rPr>
          <w:rFonts w:cs="Times New Roman"/>
          <w:sz w:val="24"/>
        </w:rPr>
      </w:pPr>
      <w:r>
        <w:rPr>
          <w:rFonts w:hint="eastAsia" w:cs="Times New Roman"/>
          <w:sz w:val="24"/>
        </w:rPr>
        <w:t>五、保修费用</w:t>
      </w:r>
    </w:p>
    <w:p>
      <w:pPr>
        <w:pStyle w:val="29"/>
        <w:spacing w:line="440" w:lineRule="exact"/>
        <w:ind w:firstLine="480" w:firstLineChars="200"/>
        <w:rPr>
          <w:rFonts w:cs="Times New Roman"/>
          <w:sz w:val="24"/>
        </w:rPr>
      </w:pPr>
      <w:r>
        <w:rPr>
          <w:rFonts w:hint="eastAsia" w:cs="Times New Roman"/>
          <w:sz w:val="24"/>
        </w:rPr>
        <w:t>保修费用由造成质量缺陷的责任方承担。</w:t>
      </w:r>
    </w:p>
    <w:p>
      <w:pPr>
        <w:pStyle w:val="29"/>
        <w:spacing w:line="440" w:lineRule="exact"/>
        <w:ind w:firstLine="480" w:firstLineChars="200"/>
        <w:rPr>
          <w:rFonts w:cs="Times New Roman"/>
          <w:sz w:val="24"/>
        </w:rPr>
      </w:pPr>
      <w:r>
        <w:rPr>
          <w:rFonts w:hint="eastAsia" w:cs="Times New Roman"/>
          <w:sz w:val="24"/>
        </w:rPr>
        <w:t>六、双方约定的其他工程质量保修事项：</w:t>
      </w:r>
      <w:r>
        <w:rPr>
          <w:rFonts w:cs="Times New Roman"/>
          <w:sz w:val="24"/>
          <w:u w:val="single"/>
        </w:rPr>
        <w:t xml:space="preserve">        </w:t>
      </w:r>
      <w:r>
        <w:rPr>
          <w:rFonts w:cs="Times New Roman"/>
          <w:sz w:val="24"/>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工程质量保修书由发包人、承包人在工程竣工验收前共同签署，作为施工合同附件，其有效期限至保修期满。</w:t>
      </w:r>
    </w:p>
    <w:p>
      <w:pPr>
        <w:pStyle w:val="29"/>
        <w:spacing w:line="440" w:lineRule="exact"/>
        <w:ind w:firstLine="480" w:firstLineChars="200"/>
        <w:rPr>
          <w:rFonts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rPr>
          <w:rFonts w:ascii="Times New Roman" w:hAnsi="Times New Roman" w:cs="Times New Roman"/>
          <w:sz w:val="24"/>
        </w:rPr>
      </w:pPr>
    </w:p>
    <w:p>
      <w:pPr>
        <w:spacing w:line="440" w:lineRule="exact"/>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rPr>
          <w:rFonts w:ascii="Times New Roman" w:hAnsi="Times New Roman" w:cs="Times New Roman"/>
          <w:sz w:val="24"/>
        </w:rPr>
      </w:pPr>
    </w:p>
    <w:p>
      <w:pPr>
        <w:pStyle w:val="2"/>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widowControl/>
        <w:jc w:val="left"/>
        <w:rPr>
          <w:rFonts w:ascii="Times New Roman" w:hAnsi="Times New Roman" w:cs="Times New Roman"/>
          <w:sz w:val="24"/>
        </w:rPr>
      </w:pPr>
      <w:r>
        <w:rPr>
          <w:rFonts w:ascii="Times New Roman" w:hAnsi="Times New Roman" w:cs="Times New Roman"/>
          <w:sz w:val="24"/>
        </w:rPr>
        <w:br w:type="page"/>
      </w:r>
    </w:p>
    <w:p>
      <w:pPr>
        <w:pStyle w:val="29"/>
        <w:spacing w:line="440" w:lineRule="exact"/>
        <w:rPr>
          <w:rFonts w:cs="Times New Roman"/>
          <w:b/>
          <w:bCs/>
          <w:sz w:val="24"/>
        </w:rPr>
      </w:pPr>
      <w:r>
        <w:rPr>
          <w:rFonts w:hint="eastAsia" w:cs="Times New Roman"/>
          <w:b/>
          <w:bCs/>
          <w:sz w:val="24"/>
        </w:rPr>
        <w:t>附件六：三方维保协议</w:t>
      </w:r>
    </w:p>
    <w:p>
      <w:pPr>
        <w:pStyle w:val="44"/>
        <w:spacing w:before="156" w:beforeLines="50" w:after="156" w:afterLines="50" w:line="360" w:lineRule="auto"/>
        <w:jc w:val="center"/>
        <w:rPr>
          <w:b/>
          <w:sz w:val="32"/>
          <w:szCs w:val="32"/>
        </w:rPr>
      </w:pPr>
      <w:r>
        <w:rPr>
          <w:b/>
          <w:sz w:val="32"/>
          <w:szCs w:val="32"/>
        </w:rPr>
        <w:t>三方维保协议</w:t>
      </w:r>
    </w:p>
    <w:p>
      <w:pPr>
        <w:pStyle w:val="44"/>
        <w:spacing w:line="560" w:lineRule="exact"/>
        <w:ind w:firstLine="480" w:firstLineChars="200"/>
        <w:jc w:val="left"/>
        <w:rPr>
          <w:bCs/>
          <w:sz w:val="24"/>
        </w:rPr>
      </w:pPr>
      <w:r>
        <w:rPr>
          <w:bCs/>
          <w:sz w:val="24"/>
        </w:rPr>
        <w:t>甲方（委托方）：</w:t>
      </w:r>
      <w:r>
        <w:rPr>
          <w:bCs/>
          <w:sz w:val="24"/>
          <w:u w:val="single"/>
        </w:rPr>
        <w:t xml:space="preserve"> 上海迈信房地产开发有限公司 </w:t>
      </w:r>
      <w:r>
        <w:rPr>
          <w:bCs/>
          <w:sz w:val="24"/>
        </w:rPr>
        <w:t xml:space="preserve"> </w:t>
      </w:r>
    </w:p>
    <w:p>
      <w:pPr>
        <w:pStyle w:val="44"/>
        <w:spacing w:line="560" w:lineRule="exact"/>
        <w:ind w:firstLine="480" w:firstLineChars="200"/>
        <w:jc w:val="left"/>
        <w:rPr>
          <w:bCs/>
          <w:sz w:val="24"/>
        </w:rPr>
      </w:pPr>
      <w:r>
        <w:rPr>
          <w:bCs/>
          <w:sz w:val="24"/>
        </w:rPr>
        <w:t>乙方（物业管理企业）：</w:t>
      </w:r>
      <w:r>
        <w:rPr>
          <w:bCs/>
          <w:sz w:val="24"/>
          <w:u w:val="single"/>
        </w:rPr>
        <w:t xml:space="preserve"> 安徽交控物业服务有限公司上海分公司 </w:t>
      </w:r>
      <w:r>
        <w:rPr>
          <w:bCs/>
          <w:sz w:val="24"/>
        </w:rPr>
        <w:t xml:space="preserve">  </w:t>
      </w:r>
    </w:p>
    <w:p>
      <w:pPr>
        <w:pStyle w:val="44"/>
        <w:spacing w:line="560" w:lineRule="exact"/>
        <w:ind w:firstLine="480" w:firstLineChars="200"/>
        <w:jc w:val="left"/>
        <w:rPr>
          <w:bCs/>
          <w:sz w:val="24"/>
          <w:u w:val="single"/>
        </w:rPr>
      </w:pPr>
      <w:r>
        <w:rPr>
          <w:bCs/>
          <w:sz w:val="24"/>
        </w:rPr>
        <w:t>丙方（承建方）：</w:t>
      </w:r>
      <w:r>
        <w:rPr>
          <w:bCs/>
          <w:sz w:val="24"/>
          <w:u w:val="single"/>
        </w:rPr>
        <w:t xml:space="preserve">              </w:t>
      </w:r>
      <w:r>
        <w:rPr>
          <w:rFonts w:hint="eastAsia"/>
          <w:bCs/>
          <w:sz w:val="24"/>
          <w:u w:val="single"/>
        </w:rPr>
        <w:t xml:space="preserve">                           </w:t>
      </w:r>
      <w:r>
        <w:rPr>
          <w:bCs/>
          <w:sz w:val="24"/>
          <w:u w:val="single"/>
        </w:rPr>
        <w:t xml:space="preserve">           </w:t>
      </w:r>
    </w:p>
    <w:p>
      <w:pPr>
        <w:pStyle w:val="44"/>
        <w:spacing w:line="560" w:lineRule="exact"/>
        <w:ind w:firstLine="480" w:firstLineChars="200"/>
        <w:jc w:val="left"/>
        <w:rPr>
          <w:bCs/>
          <w:sz w:val="24"/>
        </w:rPr>
      </w:pPr>
      <w:r>
        <w:rPr>
          <w:bCs/>
          <w:sz w:val="24"/>
        </w:rPr>
        <w:t>由甲方投资建设，丙方承建的</w:t>
      </w:r>
      <w:r>
        <w:rPr>
          <w:bCs/>
          <w:sz w:val="24"/>
          <w:u w:val="single"/>
        </w:rPr>
        <w:t xml:space="preserve"> </w:t>
      </w:r>
      <w:r>
        <w:rPr>
          <w:sz w:val="24"/>
          <w:u w:val="single"/>
        </w:rPr>
        <w:t xml:space="preserve">青浦区华新镇华志路北侧23-01地块项目交通标识工程 </w:t>
      </w:r>
      <w:r>
        <w:rPr>
          <w:bCs/>
          <w:sz w:val="24"/>
        </w:rPr>
        <w:t>工程项目，三方现就该工程在经相关部门完工验收备案合格交付后在保修期内的保修事宜达成如下协议：</w:t>
      </w:r>
    </w:p>
    <w:p>
      <w:pPr>
        <w:pStyle w:val="44"/>
        <w:numPr>
          <w:ilvl w:val="0"/>
          <w:numId w:val="5"/>
        </w:numPr>
        <w:spacing w:line="560" w:lineRule="exact"/>
        <w:ind w:firstLine="480" w:firstLineChars="200"/>
        <w:jc w:val="left"/>
        <w:rPr>
          <w:bCs/>
          <w:sz w:val="24"/>
        </w:rPr>
      </w:pPr>
      <w:r>
        <w:rPr>
          <w:bCs/>
          <w:sz w:val="24"/>
        </w:rPr>
        <w:t>该工程的保修内容及保修期限参照甲丙双方签订合同中建筑工程质量保修书内容。</w:t>
      </w:r>
    </w:p>
    <w:p>
      <w:pPr>
        <w:pStyle w:val="44"/>
        <w:spacing w:line="560" w:lineRule="exact"/>
        <w:ind w:firstLine="480" w:firstLineChars="200"/>
        <w:jc w:val="left"/>
        <w:rPr>
          <w:bCs/>
          <w:sz w:val="24"/>
        </w:rPr>
      </w:pPr>
      <w:r>
        <w:rPr>
          <w:bCs/>
          <w:sz w:val="24"/>
        </w:rPr>
        <w:t>二、丙方承建的该工程，自甲方、丙方交付给乙方之日起，由乙方接管。</w:t>
      </w:r>
    </w:p>
    <w:p>
      <w:pPr>
        <w:pStyle w:val="44"/>
        <w:spacing w:line="560" w:lineRule="exact"/>
        <w:ind w:firstLine="480" w:firstLineChars="200"/>
        <w:jc w:val="left"/>
        <w:rPr>
          <w:bCs/>
          <w:sz w:val="24"/>
        </w:rPr>
      </w:pPr>
      <w:r>
        <w:rPr>
          <w:bCs/>
          <w:sz w:val="24"/>
        </w:rPr>
        <w:t>三、甲方应向乙方提供该工程质量技术方面相关文件。</w:t>
      </w:r>
    </w:p>
    <w:p>
      <w:pPr>
        <w:pStyle w:val="44"/>
        <w:spacing w:line="560" w:lineRule="exact"/>
        <w:ind w:firstLine="480" w:firstLineChars="200"/>
        <w:jc w:val="left"/>
        <w:rPr>
          <w:bCs/>
          <w:sz w:val="24"/>
        </w:rPr>
      </w:pPr>
      <w:r>
        <w:rPr>
          <w:bCs/>
          <w:sz w:val="24"/>
        </w:rPr>
        <w:t>四、丙方派驻的维修人员在维修时，需到乙方填写维修记录并存档。</w:t>
      </w:r>
    </w:p>
    <w:p>
      <w:pPr>
        <w:pStyle w:val="44"/>
        <w:spacing w:line="560" w:lineRule="exact"/>
        <w:ind w:firstLine="480" w:firstLineChars="200"/>
        <w:jc w:val="left"/>
        <w:rPr>
          <w:bCs/>
          <w:sz w:val="24"/>
        </w:rPr>
      </w:pPr>
      <w:r>
        <w:rPr>
          <w:bCs/>
          <w:sz w:val="24"/>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业主发生矛盾冲突，尽可能使业主/住户满意，并按照乙方入户维修相关作业规范操作。</w:t>
      </w:r>
    </w:p>
    <w:p>
      <w:pPr>
        <w:pStyle w:val="44"/>
        <w:spacing w:line="560" w:lineRule="exact"/>
        <w:ind w:firstLine="480" w:firstLineChars="200"/>
        <w:jc w:val="left"/>
        <w:rPr>
          <w:bCs/>
          <w:sz w:val="24"/>
        </w:rPr>
      </w:pPr>
      <w:r>
        <w:rPr>
          <w:bCs/>
          <w:sz w:val="24"/>
        </w:rPr>
        <w:t>六、甲方或乙方在保修期内通知丙方维修时以电话或其他有效方式通知丙方，丙方指定的保修负责人联系电话应随时保持通畅，如保修负责人或联系电话等发生变动，丙方应及时以书面形式通知乙方。当发生保修及质量投诉时，乙方可按丙方提供的联系电话通知丙方指定的保修负责人，该保修负责人应于接到电话通知时起，急修1小时内、一般性维修12小时内到乙方处领取《维修单》，电话通知以乙方处留存的电话通知或其他有效方式通知记录为准。逾期未来领取，或电话通知时该保修负责人的联系电话无法接通或二次维修仍未合格的，丙方同意由甲方或乙方另行委托其他施工单位维修。乙方应对现场进行拍照取证并会同甲方共同书面见证后直接安排其他专业维修单位进行维修（以乙方物业服务中心《维修单》、现场照片及书面证明材料为依据），产生的一切费用（包括工程维修费用、赔偿费用及20%的管理费用）凭甲、乙方共同确认的维修施工签证单从丙方质保金中直接扣除；质保金不足部分由丙方另行支付。丙方承诺对此无异议。</w:t>
      </w:r>
    </w:p>
    <w:p>
      <w:pPr>
        <w:pStyle w:val="44"/>
        <w:spacing w:line="560" w:lineRule="exact"/>
        <w:ind w:firstLine="480" w:firstLineChars="200"/>
        <w:jc w:val="left"/>
        <w:rPr>
          <w:bCs/>
          <w:sz w:val="24"/>
        </w:rPr>
      </w:pPr>
      <w:r>
        <w:rPr>
          <w:bCs/>
          <w:sz w:val="24"/>
        </w:rPr>
        <w:t>七、丙方承担因工程发生质量问题引起的赔偿责任，包括对用户造成的财产损失和人身伤害的赔偿，以及对乙方造成的损害赔偿（如住户/业主因质量问题拒交物管费等）。费用扣除依据《维修单》或与住户/业主签订的书面协议；丙方承诺对此无异议。</w:t>
      </w:r>
    </w:p>
    <w:p>
      <w:pPr>
        <w:pStyle w:val="44"/>
        <w:spacing w:line="560" w:lineRule="exact"/>
        <w:ind w:firstLine="480" w:firstLineChars="200"/>
        <w:jc w:val="left"/>
        <w:rPr>
          <w:bCs/>
          <w:sz w:val="24"/>
        </w:rPr>
      </w:pPr>
      <w:r>
        <w:rPr>
          <w:bCs/>
          <w:sz w:val="24"/>
        </w:rPr>
        <w:t>八、丙方须在工程质保期期满前三个月，主动与甲方、乙方联系对承建的该工程进行全面检修，以便在质保期满后完好地交付，并经甲方、乙方签字确认无遗留问题，否则顺延保修期。</w:t>
      </w:r>
    </w:p>
    <w:p>
      <w:pPr>
        <w:pStyle w:val="44"/>
        <w:spacing w:line="560" w:lineRule="exact"/>
        <w:ind w:firstLine="480" w:firstLineChars="200"/>
        <w:jc w:val="left"/>
        <w:rPr>
          <w:bCs/>
          <w:sz w:val="24"/>
        </w:rPr>
      </w:pPr>
      <w:r>
        <w:rPr>
          <w:bCs/>
          <w:sz w:val="24"/>
        </w:rPr>
        <w:t>九、丙方承建的工程保修期满后，须经乙方签字认可，甲方才能支付该工程的剩余质保金。</w:t>
      </w:r>
    </w:p>
    <w:p>
      <w:pPr>
        <w:pStyle w:val="44"/>
        <w:spacing w:line="560" w:lineRule="exact"/>
        <w:ind w:firstLine="480" w:firstLineChars="200"/>
        <w:jc w:val="left"/>
        <w:rPr>
          <w:bCs/>
          <w:sz w:val="24"/>
        </w:rPr>
      </w:pPr>
      <w:r>
        <w:rPr>
          <w:bCs/>
          <w:sz w:val="24"/>
        </w:rPr>
        <w:t>十、如丙方在保修期到期时仍有遗留问题没有处理，质保期自动顺延直至问题处理完毕。</w:t>
      </w:r>
    </w:p>
    <w:p>
      <w:pPr>
        <w:pStyle w:val="44"/>
        <w:spacing w:line="560" w:lineRule="exact"/>
        <w:ind w:firstLine="480" w:firstLineChars="200"/>
        <w:jc w:val="left"/>
        <w:rPr>
          <w:bCs/>
          <w:sz w:val="24"/>
        </w:rPr>
      </w:pPr>
      <w:r>
        <w:rPr>
          <w:bCs/>
          <w:sz w:val="24"/>
        </w:rPr>
        <w:t>如丙方在工程维修期和保修范围内未积极的履行保修义务的，甲方追究其违约责任：</w:t>
      </w:r>
    </w:p>
    <w:p>
      <w:pPr>
        <w:pStyle w:val="44"/>
        <w:spacing w:line="560" w:lineRule="exact"/>
        <w:ind w:firstLine="480" w:firstLineChars="200"/>
        <w:jc w:val="left"/>
        <w:rPr>
          <w:bCs/>
          <w:sz w:val="24"/>
        </w:rPr>
      </w:pPr>
      <w:r>
        <w:rPr>
          <w:bCs/>
          <w:sz w:val="24"/>
        </w:rPr>
        <w:t>1、因丙方同一部位连续两次维修不合格，丙方向甲方支付1000元/次/项的违约金。</w:t>
      </w:r>
    </w:p>
    <w:p>
      <w:pPr>
        <w:pStyle w:val="44"/>
        <w:spacing w:line="560" w:lineRule="exact"/>
        <w:ind w:firstLine="480" w:firstLineChars="200"/>
        <w:jc w:val="left"/>
        <w:rPr>
          <w:bCs/>
          <w:sz w:val="24"/>
        </w:rPr>
      </w:pPr>
      <w:r>
        <w:rPr>
          <w:bCs/>
          <w:sz w:val="24"/>
        </w:rPr>
        <w:t>2、对丙方处理售后维修问题有推诿、敷衍等行为，丙方向甲方支付1000元/次/项的违约金。</w:t>
      </w:r>
    </w:p>
    <w:p>
      <w:pPr>
        <w:pStyle w:val="44"/>
        <w:spacing w:line="560" w:lineRule="exact"/>
        <w:ind w:firstLine="480" w:firstLineChars="200"/>
        <w:jc w:val="left"/>
        <w:rPr>
          <w:bCs/>
          <w:sz w:val="24"/>
        </w:rPr>
      </w:pPr>
      <w:r>
        <w:rPr>
          <w:bCs/>
          <w:sz w:val="24"/>
        </w:rPr>
        <w:t>3、因丙方所留电话号码错误、关机，导致处理信息延误，给甲方或乙方造成损失的，丙方向甲方或乙方支付500元/次的违约金；给住户/业主带来损失的，丙方向甲方或乙方支付1000元/次的违约金，并赔偿住户/业主的相应损失。</w:t>
      </w:r>
    </w:p>
    <w:p>
      <w:pPr>
        <w:pStyle w:val="44"/>
        <w:spacing w:line="560" w:lineRule="exact"/>
        <w:ind w:firstLine="480" w:firstLineChars="200"/>
        <w:jc w:val="left"/>
        <w:rPr>
          <w:bCs/>
          <w:sz w:val="24"/>
        </w:rPr>
      </w:pPr>
      <w:r>
        <w:rPr>
          <w:bCs/>
          <w:sz w:val="24"/>
        </w:rPr>
        <w:t>4、丙方在规定时间内未完成返修问题，丙方向甲方支付1000元/次/项的违约金。导致住户/业主投诉的，丙方向甲方支付2000元/次/项的违约金。</w:t>
      </w:r>
    </w:p>
    <w:p>
      <w:pPr>
        <w:pStyle w:val="44"/>
        <w:spacing w:line="560" w:lineRule="exact"/>
        <w:ind w:firstLine="480" w:firstLineChars="200"/>
        <w:jc w:val="left"/>
        <w:rPr>
          <w:bCs/>
          <w:sz w:val="24"/>
        </w:rPr>
      </w:pPr>
      <w:r>
        <w:rPr>
          <w:bCs/>
          <w:sz w:val="24"/>
        </w:rPr>
        <w:t>5、丙方在处理问题过程中，与住户/业主发生争执，对甲方、乙方品牌形象造成影响的，丙方向甲方、乙方支付3000元/次的违约金。</w:t>
      </w:r>
    </w:p>
    <w:p>
      <w:pPr>
        <w:pStyle w:val="44"/>
        <w:spacing w:line="560" w:lineRule="exact"/>
        <w:ind w:firstLine="480" w:firstLineChars="200"/>
        <w:jc w:val="left"/>
        <w:rPr>
          <w:bCs/>
          <w:sz w:val="24"/>
        </w:rPr>
      </w:pPr>
      <w:r>
        <w:rPr>
          <w:bCs/>
          <w:sz w:val="24"/>
        </w:rPr>
        <w:t>6、维修工作完成后，应做到工完、场清、地净，否则丙方向甲方或乙方支付500元/次的违约金，并承担相应善后处理费用。</w:t>
      </w:r>
    </w:p>
    <w:p>
      <w:pPr>
        <w:pStyle w:val="44"/>
        <w:spacing w:line="560" w:lineRule="exact"/>
        <w:ind w:firstLine="480" w:firstLineChars="200"/>
        <w:jc w:val="left"/>
        <w:rPr>
          <w:bCs/>
          <w:sz w:val="24"/>
        </w:rPr>
      </w:pPr>
      <w:r>
        <w:rPr>
          <w:bCs/>
          <w:sz w:val="24"/>
        </w:rPr>
        <w:t>十一、丙方指定本工程维修的负责人/联络人为</w:t>
      </w:r>
      <w:r>
        <w:rPr>
          <w:bCs/>
          <w:sz w:val="24"/>
          <w:u w:val="single"/>
        </w:rPr>
        <w:t xml:space="preserve">  </w:t>
      </w:r>
      <w:r>
        <w:rPr>
          <w:rFonts w:hint="eastAsia"/>
          <w:bCs/>
          <w:sz w:val="24"/>
          <w:u w:val="single"/>
        </w:rPr>
        <w:t xml:space="preserve">     </w:t>
      </w:r>
      <w:r>
        <w:rPr>
          <w:bCs/>
          <w:sz w:val="24"/>
          <w:u w:val="single"/>
        </w:rPr>
        <w:t xml:space="preserve">  </w:t>
      </w:r>
      <w:r>
        <w:rPr>
          <w:bCs/>
          <w:sz w:val="24"/>
        </w:rPr>
        <w:t>，联系电话：</w:t>
      </w:r>
      <w:r>
        <w:rPr>
          <w:bCs/>
          <w:sz w:val="24"/>
          <w:u w:val="single"/>
        </w:rPr>
        <w:t xml:space="preserve">  </w:t>
      </w:r>
      <w:r>
        <w:rPr>
          <w:rFonts w:hint="eastAsia"/>
          <w:bCs/>
          <w:sz w:val="24"/>
          <w:u w:val="single"/>
        </w:rPr>
        <w:t xml:space="preserve">      </w:t>
      </w:r>
      <w:r>
        <w:rPr>
          <w:bCs/>
          <w:sz w:val="24"/>
          <w:u w:val="single"/>
        </w:rPr>
        <w:t xml:space="preserve">  </w:t>
      </w:r>
      <w:r>
        <w:rPr>
          <w:bCs/>
          <w:sz w:val="24"/>
        </w:rPr>
        <w:t>、电子邮箱：</w:t>
      </w:r>
      <w:r>
        <w:rPr>
          <w:bCs/>
          <w:sz w:val="24"/>
          <w:u w:val="single"/>
        </w:rPr>
        <w:t xml:space="preserve">  </w:t>
      </w:r>
      <w:r>
        <w:rPr>
          <w:rFonts w:hint="eastAsia"/>
          <w:sz w:val="24"/>
          <w:u w:val="single"/>
          <w:lang w:bidi="ar"/>
        </w:rPr>
        <w:t xml:space="preserve">        </w:t>
      </w:r>
      <w:r>
        <w:rPr>
          <w:bCs/>
          <w:sz w:val="24"/>
          <w:u w:val="single"/>
        </w:rPr>
        <w:t xml:space="preserve"> </w:t>
      </w:r>
      <w:r>
        <w:rPr>
          <w:bCs/>
          <w:sz w:val="24"/>
        </w:rPr>
        <w:t>，如因联络人变更应在变更前七个工作日内书面通知甲乙双方，以便沟通。</w:t>
      </w:r>
    </w:p>
    <w:p>
      <w:pPr>
        <w:pStyle w:val="44"/>
        <w:spacing w:line="560" w:lineRule="exact"/>
        <w:ind w:firstLine="480" w:firstLineChars="200"/>
        <w:jc w:val="left"/>
        <w:rPr>
          <w:bCs/>
          <w:sz w:val="24"/>
        </w:rPr>
      </w:pPr>
      <w:r>
        <w:rPr>
          <w:bCs/>
          <w:sz w:val="24"/>
        </w:rPr>
        <w:t>十二、本协议一式</w:t>
      </w:r>
      <w:r>
        <w:rPr>
          <w:bCs/>
          <w:sz w:val="24"/>
          <w:u w:val="single"/>
        </w:rPr>
        <w:t xml:space="preserve">  </w:t>
      </w:r>
      <w:r>
        <w:rPr>
          <w:rFonts w:hint="eastAsia"/>
          <w:bCs/>
          <w:sz w:val="24"/>
          <w:u w:val="single"/>
        </w:rPr>
        <w:t>柒</w:t>
      </w:r>
      <w:r>
        <w:rPr>
          <w:bCs/>
          <w:sz w:val="24"/>
          <w:u w:val="single"/>
        </w:rPr>
        <w:t xml:space="preserve">  </w:t>
      </w:r>
      <w:r>
        <w:rPr>
          <w:bCs/>
          <w:sz w:val="24"/>
        </w:rPr>
        <w:t>份，由甲方执</w:t>
      </w:r>
      <w:r>
        <w:rPr>
          <w:bCs/>
          <w:sz w:val="24"/>
          <w:u w:val="single"/>
        </w:rPr>
        <w:t xml:space="preserve"> 肆  </w:t>
      </w:r>
      <w:r>
        <w:rPr>
          <w:bCs/>
          <w:sz w:val="24"/>
        </w:rPr>
        <w:t>份、乙方执</w:t>
      </w:r>
      <w:r>
        <w:rPr>
          <w:bCs/>
          <w:sz w:val="24"/>
          <w:u w:val="single"/>
        </w:rPr>
        <w:t xml:space="preserve"> 壹  </w:t>
      </w:r>
      <w:r>
        <w:rPr>
          <w:bCs/>
          <w:sz w:val="24"/>
        </w:rPr>
        <w:t>份、丙方执</w:t>
      </w:r>
      <w:r>
        <w:rPr>
          <w:bCs/>
          <w:sz w:val="24"/>
          <w:u w:val="single"/>
        </w:rPr>
        <w:t xml:space="preserve"> 贰</w:t>
      </w:r>
      <w:r>
        <w:rPr>
          <w:bCs/>
          <w:sz w:val="24"/>
        </w:rPr>
        <w:t>份，在经政府质监部门验收合格交付后自动生效。</w:t>
      </w:r>
    </w:p>
    <w:p>
      <w:pPr>
        <w:pStyle w:val="44"/>
        <w:spacing w:line="560" w:lineRule="exact"/>
        <w:ind w:firstLine="480" w:firstLineChars="200"/>
        <w:jc w:val="left"/>
        <w:rPr>
          <w:bCs/>
          <w:sz w:val="24"/>
        </w:rPr>
      </w:pPr>
      <w:r>
        <w:rPr>
          <w:bCs/>
          <w:sz w:val="24"/>
        </w:rPr>
        <w:t>十三、未尽事宜，三方协商解决。协商不成，提交甲方所在地人民法院诉讼。</w:t>
      </w:r>
    </w:p>
    <w:p>
      <w:pPr>
        <w:pStyle w:val="44"/>
        <w:spacing w:line="560" w:lineRule="exact"/>
        <w:ind w:firstLine="480" w:firstLineChars="200"/>
        <w:jc w:val="left"/>
        <w:rPr>
          <w:bCs/>
          <w:sz w:val="24"/>
        </w:rPr>
      </w:pPr>
      <w:r>
        <w:rPr>
          <w:bCs/>
          <w:sz w:val="24"/>
        </w:rPr>
        <w:t xml:space="preserve">甲方（盖章）：           </w:t>
      </w:r>
    </w:p>
    <w:p>
      <w:pPr>
        <w:pStyle w:val="44"/>
        <w:spacing w:line="560" w:lineRule="exact"/>
        <w:ind w:left="2280" w:leftChars="286" w:hanging="1680" w:hangingChars="700"/>
        <w:jc w:val="left"/>
        <w:rPr>
          <w:bCs/>
          <w:sz w:val="24"/>
        </w:rPr>
      </w:pPr>
      <w:r>
        <w:rPr>
          <w:bCs/>
          <w:sz w:val="24"/>
        </w:rPr>
        <w:t xml:space="preserve">                        </w:t>
      </w:r>
      <w:r>
        <w:rPr>
          <w:rFonts w:hint="eastAsia"/>
          <w:bCs/>
          <w:sz w:val="24"/>
        </w:rPr>
        <w:t xml:space="preserve">                          </w:t>
      </w:r>
      <w:r>
        <w:rPr>
          <w:bCs/>
          <w:sz w:val="24"/>
        </w:rPr>
        <w:t xml:space="preserve">     年    月    日</w:t>
      </w:r>
    </w:p>
    <w:p>
      <w:pPr>
        <w:pStyle w:val="44"/>
        <w:spacing w:line="560" w:lineRule="exact"/>
        <w:ind w:firstLine="480" w:firstLineChars="200"/>
        <w:jc w:val="left"/>
        <w:rPr>
          <w:bCs/>
          <w:sz w:val="24"/>
        </w:rPr>
      </w:pPr>
      <w:r>
        <w:rPr>
          <w:bCs/>
          <w:sz w:val="24"/>
        </w:rPr>
        <w:t xml:space="preserve">乙方（盖章）：                                             </w:t>
      </w:r>
    </w:p>
    <w:p>
      <w:pPr>
        <w:pStyle w:val="44"/>
        <w:spacing w:line="560" w:lineRule="exact"/>
        <w:ind w:left="3330" w:leftChars="1586" w:firstLine="480" w:firstLineChars="200"/>
        <w:jc w:val="left"/>
        <w:rPr>
          <w:bCs/>
          <w:sz w:val="24"/>
        </w:rPr>
      </w:pPr>
      <w:r>
        <w:rPr>
          <w:bCs/>
          <w:sz w:val="24"/>
        </w:rPr>
        <w:t xml:space="preserve">  年    月    日</w:t>
      </w:r>
    </w:p>
    <w:p>
      <w:pPr>
        <w:pStyle w:val="44"/>
        <w:spacing w:line="560" w:lineRule="exact"/>
        <w:ind w:firstLine="480" w:firstLineChars="200"/>
        <w:jc w:val="left"/>
        <w:rPr>
          <w:bCs/>
          <w:sz w:val="24"/>
        </w:rPr>
      </w:pPr>
      <w:r>
        <w:rPr>
          <w:bCs/>
          <w:sz w:val="24"/>
        </w:rPr>
        <w:t xml:space="preserve">丙方（盖章）：                  </w:t>
      </w:r>
    </w:p>
    <w:p>
      <w:pPr>
        <w:pStyle w:val="44"/>
        <w:spacing w:line="560" w:lineRule="exact"/>
        <w:ind w:firstLine="4080" w:firstLineChars="1700"/>
        <w:jc w:val="left"/>
        <w:rPr>
          <w:b/>
          <w:bCs/>
          <w:sz w:val="24"/>
        </w:rPr>
      </w:pPr>
      <w:r>
        <w:rPr>
          <w:bCs/>
          <w:sz w:val="24"/>
        </w:rPr>
        <w:t>年    月    日</w:t>
      </w:r>
    </w:p>
    <w:p>
      <w:pPr>
        <w:widowControl/>
        <w:jc w:val="left"/>
        <w:rPr>
          <w:rFonts w:ascii="Times New Roman" w:hAnsi="Times New Roman" w:cs="Times New Roman"/>
          <w:b/>
          <w:bCs/>
          <w:sz w:val="24"/>
        </w:rPr>
      </w:pPr>
      <w:r>
        <w:rPr>
          <w:rFonts w:cs="Times New Roman"/>
          <w:b/>
          <w:bCs/>
          <w:sz w:val="24"/>
        </w:rPr>
        <w:br w:type="page"/>
      </w:r>
    </w:p>
    <w:p>
      <w:pPr>
        <w:pStyle w:val="29"/>
        <w:spacing w:line="440" w:lineRule="exact"/>
        <w:rPr>
          <w:rFonts w:cs="Times New Roman"/>
          <w:b/>
          <w:bCs/>
          <w:sz w:val="24"/>
        </w:rPr>
      </w:pPr>
    </w:p>
    <w:p>
      <w:pPr>
        <w:pStyle w:val="29"/>
        <w:spacing w:line="440" w:lineRule="exact"/>
        <w:rPr>
          <w:rFonts w:cs="Times New Roman"/>
          <w:b/>
          <w:bCs/>
          <w:sz w:val="24"/>
        </w:rPr>
      </w:pPr>
      <w:r>
        <w:rPr>
          <w:rFonts w:hint="eastAsia" w:cs="Times New Roman"/>
          <w:b/>
          <w:bCs/>
          <w:sz w:val="24"/>
        </w:rPr>
        <w:t>附件七：工程技术规范及要求</w:t>
      </w:r>
    </w:p>
    <w:p>
      <w:pPr>
        <w:pStyle w:val="29"/>
        <w:spacing w:line="440" w:lineRule="exact"/>
        <w:rPr>
          <w:rFonts w:cs="Times New Roman"/>
          <w:b/>
          <w:bCs/>
          <w:sz w:val="24"/>
        </w:rPr>
      </w:pPr>
    </w:p>
    <w:p>
      <w:pPr>
        <w:pStyle w:val="29"/>
        <w:spacing w:line="440" w:lineRule="exact"/>
        <w:rPr>
          <w:rFonts w:cs="Times New Roman"/>
          <w:b/>
          <w:bCs/>
          <w:sz w:val="24"/>
        </w:rPr>
      </w:pPr>
    </w:p>
    <w:p>
      <w:pPr>
        <w:pStyle w:val="29"/>
        <w:spacing w:line="440" w:lineRule="exact"/>
        <w:rPr>
          <w:rFonts w:cs="Times New Roman"/>
          <w:b/>
          <w:bCs/>
          <w:sz w:val="24"/>
        </w:rPr>
      </w:pPr>
    </w:p>
    <w:p>
      <w:pPr>
        <w:widowControl/>
        <w:jc w:val="left"/>
        <w:rPr>
          <w:rFonts w:ascii="Times New Roman" w:hAnsi="Times New Roman" w:cs="Times New Roman"/>
          <w:b/>
          <w:bCs/>
          <w:sz w:val="24"/>
        </w:rPr>
      </w:pPr>
      <w:r>
        <w:rPr>
          <w:rFonts w:ascii="Times New Roman" w:hAnsi="Times New Roman" w:cs="Times New Roman"/>
          <w:b/>
          <w:bCs/>
          <w:sz w:val="24"/>
        </w:rPr>
        <w:br w:type="page"/>
      </w:r>
    </w:p>
    <w:p>
      <w:pPr>
        <w:pStyle w:val="29"/>
        <w:spacing w:line="440" w:lineRule="exact"/>
        <w:rPr>
          <w:rFonts w:eastAsia="宋体" w:cs="Times New Roman"/>
        </w:rPr>
      </w:pPr>
      <w:r>
        <w:rPr>
          <w:rFonts w:hint="eastAsia" w:cs="Times New Roman"/>
          <w:b/>
          <w:bCs/>
          <w:sz w:val="24"/>
        </w:rPr>
        <w:t>附件八：已标价的报价清单</w:t>
      </w:r>
      <w:r>
        <w:rPr>
          <w:rFonts w:eastAsia="宋体" w:cs="Times New Roman"/>
        </w:rPr>
        <w:br w:type="page"/>
      </w:r>
    </w:p>
    <w:p>
      <w:pPr>
        <w:pStyle w:val="3"/>
        <w:numPr>
          <w:ilvl w:val="255"/>
          <w:numId w:val="0"/>
        </w:numPr>
        <w:spacing w:before="312" w:after="312"/>
        <w:ind w:left="402"/>
        <w:rPr>
          <w:rFonts w:ascii="Times New Roman" w:hAnsi="Times New Roman" w:eastAsia="宋体" w:cs="Times New Roman"/>
        </w:rPr>
      </w:pPr>
      <w:bookmarkStart w:id="83"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83"/>
    </w:p>
    <w:p>
      <w:pPr>
        <w:pStyle w:val="4"/>
        <w:numPr>
          <w:ilvl w:val="0"/>
          <w:numId w:val="0"/>
        </w:numPr>
        <w:snapToGrid w:val="0"/>
        <w:spacing w:before="120" w:after="120" w:line="240" w:lineRule="auto"/>
        <w:ind w:left="630"/>
        <w:rPr>
          <w:rFonts w:ascii="Times New Roman" w:hAnsi="Times New Roman" w:cs="Times New Roman"/>
        </w:rPr>
      </w:pPr>
      <w:bookmarkStart w:id="84" w:name="_Toc28814_WPSOffice_Level2"/>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技术标准和要求</w:t>
      </w:r>
    </w:p>
    <w:bookmarkEnd w:id="84"/>
    <w:p>
      <w:pPr>
        <w:pStyle w:val="4"/>
        <w:numPr>
          <w:ilvl w:val="0"/>
          <w:numId w:val="0"/>
        </w:numPr>
        <w:snapToGrid w:val="0"/>
        <w:spacing w:before="120" w:after="120" w:line="240" w:lineRule="auto"/>
        <w:ind w:left="630"/>
        <w:rPr>
          <w:rFonts w:ascii="Times New Roman" w:hAnsi="Times New Roman" w:cs="Times New Roman"/>
        </w:rPr>
      </w:pPr>
      <w:bookmarkStart w:id="85" w:name="_Toc27821_WPSOffice_Level2"/>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图纸</w:t>
      </w:r>
      <w:bookmarkEnd w:id="85"/>
    </w:p>
    <w:p>
      <w:pPr>
        <w:ind w:left="636" w:leftChars="303"/>
        <w:rPr>
          <w:rFonts w:ascii="Times New Roman" w:hAnsi="Times New Roman" w:cs="Times New Roman"/>
        </w:rPr>
      </w:pPr>
      <w:r>
        <w:rPr>
          <w:rFonts w:ascii="Times New Roman" w:hAnsi="Times New Roman" w:cs="Times New Roman"/>
        </w:rPr>
        <w:t>2.1青浦区华新镇华志路北侧23-01地块项目</w:t>
      </w:r>
      <w:r>
        <w:rPr>
          <w:rFonts w:hint="eastAsia"/>
        </w:rPr>
        <w:t>交通标识验收版初步方案</w:t>
      </w:r>
      <w:r>
        <w:rPr>
          <w:rFonts w:hint="eastAsia" w:ascii="Times New Roman" w:hAnsi="Times New Roman" w:cs="Times New Roman"/>
        </w:rPr>
        <w:t>(</w:t>
      </w:r>
      <w:r>
        <w:rPr>
          <w:rFonts w:ascii="Times New Roman" w:hAnsi="Times New Roman" w:cs="Times New Roman"/>
        </w:rPr>
        <w:t>见附件</w:t>
      </w:r>
      <w:r>
        <w:rPr>
          <w:rFonts w:hint="eastAsia" w:ascii="Times New Roman" w:hAnsi="Times New Roman" w:cs="Times New Roman"/>
        </w:rPr>
        <w:t>)；</w:t>
      </w:r>
    </w:p>
    <w:p>
      <w:pPr>
        <w:ind w:left="636" w:leftChars="303"/>
        <w:rPr>
          <w:rFonts w:ascii="Times New Roman" w:hAnsi="Times New Roman" w:cs="Times New Roman"/>
        </w:rPr>
      </w:pPr>
      <w:r>
        <w:rPr>
          <w:rFonts w:ascii="Times New Roman" w:hAnsi="Times New Roman" w:cs="Times New Roman"/>
        </w:rPr>
        <w:t>2.2青浦区华新镇华志路北侧23-01地块项目</w:t>
      </w:r>
      <w:r>
        <w:rPr>
          <w:rFonts w:hint="eastAsia"/>
        </w:rPr>
        <w:t>交通标识交付版图纸</w:t>
      </w:r>
      <w:r>
        <w:rPr>
          <w:rFonts w:hint="eastAsia" w:ascii="Times New Roman" w:hAnsi="Times New Roman" w:cs="Times New Roman"/>
        </w:rPr>
        <w:t>(</w:t>
      </w:r>
      <w:r>
        <w:rPr>
          <w:rFonts w:ascii="Times New Roman" w:hAnsi="Times New Roman" w:cs="Times New Roman"/>
        </w:rPr>
        <w:t>见附件</w:t>
      </w:r>
      <w:r>
        <w:rPr>
          <w:rFonts w:hint="eastAsia" w:ascii="Times New Roman" w:hAnsi="Times New Roman" w:cs="Times New Roman"/>
        </w:rPr>
        <w:t>)；</w:t>
      </w:r>
    </w:p>
    <w:p>
      <w:pPr>
        <w:pStyle w:val="4"/>
        <w:numPr>
          <w:ilvl w:val="0"/>
          <w:numId w:val="0"/>
        </w:numPr>
        <w:snapToGrid w:val="0"/>
        <w:spacing w:before="120" w:after="120" w:line="240" w:lineRule="auto"/>
        <w:ind w:left="630"/>
        <w:rPr>
          <w:rFonts w:ascii="Times New Roman" w:hAnsi="Times New Roman" w:cs="Times New Roman"/>
        </w:rPr>
      </w:pPr>
      <w:bookmarkStart w:id="86" w:name="_Toc18078_WPSOffice_Level2"/>
      <w:r>
        <w:rPr>
          <w:rFonts w:ascii="Times New Roman" w:hAnsi="Times New Roman" w:cs="Times New Roman"/>
        </w:rPr>
        <w:t>3.工程量清单</w:t>
      </w:r>
      <w:bookmarkEnd w:id="86"/>
    </w:p>
    <w:p>
      <w:pPr>
        <w:ind w:left="636" w:leftChars="303"/>
        <w:rPr>
          <w:rFonts w:ascii="Times New Roman" w:hAnsi="Times New Roman" w:cs="Times New Roman"/>
        </w:rPr>
      </w:pPr>
      <w:r>
        <w:rPr>
          <w:rFonts w:ascii="Times New Roman" w:hAnsi="Times New Roman" w:cs="Times New Roman"/>
        </w:rPr>
        <w:t>3.1工程量清单编制说明</w:t>
      </w:r>
      <w:r>
        <w:rPr>
          <w:rFonts w:hint="eastAsia" w:ascii="Times New Roman" w:hAnsi="Times New Roman" w:cs="Times New Roman"/>
        </w:rPr>
        <w:t>(</w:t>
      </w:r>
      <w:r>
        <w:rPr>
          <w:rFonts w:ascii="Times New Roman" w:hAnsi="Times New Roman" w:cs="Times New Roman"/>
        </w:rPr>
        <w:t>编制说明中应明确：供应商不得修改工程量清单编制说明</w:t>
      </w:r>
      <w:r>
        <w:rPr>
          <w:rFonts w:hint="eastAsia" w:ascii="Times New Roman" w:hAnsi="Times New Roman" w:cs="Times New Roman"/>
        </w:rPr>
        <w:t>)</w:t>
      </w:r>
    </w:p>
    <w:p>
      <w:pPr>
        <w:ind w:left="636" w:leftChars="303"/>
        <w:rPr>
          <w:rFonts w:ascii="Times New Roman" w:hAnsi="Times New Roman" w:cs="Times New Roman"/>
        </w:rPr>
      </w:pPr>
      <w:r>
        <w:rPr>
          <w:rFonts w:ascii="Times New Roman" w:hAnsi="Times New Roman" w:cs="Times New Roman"/>
        </w:rPr>
        <w:t>3.2工程量清单</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ind w:left="402"/>
        <w:rPr>
          <w:rFonts w:ascii="Times New Roman" w:hAnsi="Times New Roman" w:eastAsia="宋体" w:cs="Times New Roman"/>
        </w:rPr>
      </w:pPr>
      <w:bookmarkStart w:id="87" w:name="_Toc17968_WPSOffice_Level1"/>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87"/>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cs="Times New Roman"/>
          <w:sz w:val="28"/>
          <w:szCs w:val="28"/>
          <w:u w:val="single"/>
        </w:rPr>
      </w:pPr>
      <w:r>
        <w:rPr>
          <w:rFonts w:hint="eastAsia" w:ascii="Times New Roman" w:hAnsi="Times New Roman" w:eastAsia="黑体" w:cs="Times New Roman"/>
          <w:sz w:val="28"/>
          <w:szCs w:val="28"/>
          <w:u w:val="single"/>
        </w:rPr>
        <w:t>青浦区华新镇华志路北侧23-01地块项目交通标识工程</w:t>
      </w:r>
    </w:p>
    <w:p>
      <w:pPr>
        <w:spacing w:line="440" w:lineRule="exact"/>
        <w:jc w:val="center"/>
        <w:rPr>
          <w:rFonts w:ascii="Times New Roman" w:hAnsi="Times New Roman" w:eastAsia="黑体" w:cs="Times New Roman"/>
          <w:sz w:val="24"/>
        </w:rPr>
      </w:pP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8" w:name="_Toc10484_WPSOffice_Level1"/>
      <w:bookmarkStart w:id="89" w:name="_Toc32044_WPSOffice_Level1"/>
      <w:bookmarkStart w:id="90" w:name="_Toc29687_WPSOffice_Level1"/>
      <w:bookmarkStart w:id="91" w:name="_Toc1914_WPSOffice_Level1"/>
      <w:bookmarkStart w:id="92" w:name="_Toc17394_WPSOffice_Level1"/>
      <w:r>
        <w:rPr>
          <w:rFonts w:ascii="Times New Roman" w:hAnsi="Times New Roman" w:eastAsia="黑体" w:cs="Times New Roman"/>
          <w:sz w:val="50"/>
          <w:szCs w:val="50"/>
        </w:rPr>
        <w:t>响  应  文  件</w:t>
      </w:r>
      <w:bookmarkEnd w:id="88"/>
      <w:bookmarkEnd w:id="89"/>
      <w:bookmarkEnd w:id="90"/>
      <w:bookmarkEnd w:id="91"/>
      <w:bookmarkEnd w:id="92"/>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3" w:name="_Toc25232_WPSOffice_Level2"/>
      <w:bookmarkStart w:id="94"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3"/>
      <w:bookmarkEnd w:id="94"/>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5" w:name="_Toc31577_WPSOffice_Level2"/>
      <w:bookmarkStart w:id="96"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5"/>
      <w:bookmarkEnd w:id="96"/>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7" w:name="_Toc21974_WPSOffice_Level2"/>
      <w:bookmarkStart w:id="98" w:name="_Toc22351_WPSOffice_Level2"/>
      <w:r>
        <w:rPr>
          <w:rFonts w:ascii="Times New Roman" w:hAnsi="Times New Roman" w:eastAsia="黑体" w:cs="Times New Roman"/>
          <w:sz w:val="28"/>
          <w:szCs w:val="28"/>
        </w:rPr>
        <w:t>目     录</w:t>
      </w:r>
      <w:bookmarkEnd w:id="97"/>
      <w:bookmarkEnd w:id="98"/>
    </w:p>
    <w:p>
      <w:pPr>
        <w:spacing w:line="440" w:lineRule="exact"/>
        <w:rPr>
          <w:rFonts w:ascii="Times New Roman" w:hAnsi="Times New Roman" w:eastAsia="黑体" w:cs="Times New Roman"/>
          <w:sz w:val="20"/>
          <w:szCs w:val="20"/>
        </w:rPr>
      </w:pPr>
    </w:p>
    <w:p>
      <w:pPr>
        <w:spacing w:line="440" w:lineRule="exact"/>
        <w:ind w:left="1619" w:leftChars="771" w:firstLine="480"/>
        <w:rPr>
          <w:rFonts w:ascii="Times New Roman" w:hAnsi="Times New Roman" w:eastAsia="黑体" w:cs="Times New Roman"/>
          <w:sz w:val="24"/>
        </w:rPr>
      </w:pPr>
      <w:bookmarkStart w:id="99" w:name="_Toc23368_WPSOffice_Level1"/>
      <w:bookmarkStart w:id="100" w:name="_Toc6353_WPSOffice_Level1"/>
      <w:bookmarkStart w:id="101" w:name="_Toc11424_WPSOffice_Level1"/>
      <w:bookmarkStart w:id="102" w:name="_Toc30529_WPSOffice_Level1"/>
      <w:bookmarkStart w:id="103" w:name="_Toc5842_WPSOffice_Level1"/>
      <w:bookmarkStart w:id="104" w:name="_Toc12670_WPSOffice_Level1"/>
      <w:r>
        <w:rPr>
          <w:rFonts w:ascii="Times New Roman" w:hAnsi="Times New Roman" w:eastAsia="黑体" w:cs="Times New Roman"/>
          <w:sz w:val="24"/>
        </w:rPr>
        <w:t>一、报价函</w:t>
      </w:r>
      <w:bookmarkEnd w:id="99"/>
      <w:bookmarkEnd w:id="100"/>
      <w:bookmarkEnd w:id="101"/>
      <w:bookmarkEnd w:id="102"/>
      <w:bookmarkEnd w:id="103"/>
    </w:p>
    <w:p>
      <w:pPr>
        <w:spacing w:line="440" w:lineRule="exact"/>
        <w:ind w:left="1619" w:leftChars="771" w:firstLine="480"/>
        <w:rPr>
          <w:rFonts w:ascii="Times New Roman" w:hAnsi="Times New Roman" w:eastAsia="黑体" w:cs="Times New Roman"/>
          <w:sz w:val="24"/>
        </w:rPr>
      </w:pPr>
      <w:bookmarkStart w:id="105" w:name="_Toc21229_WPSOffice_Level1"/>
      <w:bookmarkStart w:id="106" w:name="_Toc30428_WPSOffice_Level1"/>
      <w:bookmarkStart w:id="107" w:name="_Toc31927_WPSOffice_Level1"/>
      <w:bookmarkStart w:id="108" w:name="_Toc32729_WPSOffice_Level1"/>
      <w:bookmarkStart w:id="109" w:name="_Toc5317_WPSOffice_Level1"/>
      <w:r>
        <w:rPr>
          <w:rFonts w:ascii="Times New Roman" w:hAnsi="Times New Roman" w:eastAsia="黑体" w:cs="Times New Roman"/>
          <w:sz w:val="24"/>
        </w:rPr>
        <w:t>二、法定代表人身份证明及授权委托书</w:t>
      </w:r>
      <w:bookmarkEnd w:id="105"/>
      <w:bookmarkEnd w:id="106"/>
      <w:bookmarkEnd w:id="107"/>
      <w:bookmarkEnd w:id="108"/>
      <w:bookmarkEnd w:id="109"/>
    </w:p>
    <w:p>
      <w:pPr>
        <w:spacing w:line="440" w:lineRule="exact"/>
        <w:ind w:left="1619" w:leftChars="771" w:firstLine="480"/>
        <w:rPr>
          <w:rFonts w:ascii="Times New Roman" w:hAnsi="Times New Roman" w:eastAsia="黑体" w:cs="Times New Roman"/>
          <w:sz w:val="24"/>
        </w:rPr>
      </w:pPr>
      <w:bookmarkStart w:id="110" w:name="_Toc29085_WPSOffice_Level1"/>
      <w:bookmarkStart w:id="111" w:name="_Toc23356_WPSOffice_Level1"/>
      <w:bookmarkStart w:id="112" w:name="_Toc25965_WPSOffice_Level1"/>
      <w:bookmarkStart w:id="113" w:name="_Toc4728_WPSOffice_Level1"/>
      <w:bookmarkStart w:id="114" w:name="_Toc21853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0"/>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111"/>
      <w:bookmarkEnd w:id="112"/>
      <w:bookmarkEnd w:id="113"/>
      <w:bookmarkEnd w:id="114"/>
    </w:p>
    <w:p>
      <w:pPr>
        <w:spacing w:line="440" w:lineRule="exact"/>
        <w:ind w:left="1619" w:leftChars="771" w:firstLine="480"/>
        <w:rPr>
          <w:rFonts w:ascii="Times New Roman" w:hAnsi="Times New Roman" w:eastAsia="黑体" w:cs="Times New Roman"/>
          <w:sz w:val="24"/>
        </w:rPr>
      </w:pPr>
      <w:bookmarkStart w:id="115" w:name="_Toc23744_WPSOffice_Level1"/>
      <w:bookmarkStart w:id="116" w:name="_Toc18964_WPSOffice_Level1"/>
      <w:bookmarkStart w:id="117" w:name="_Toc10608_WPSOffice_Level1"/>
      <w:bookmarkStart w:id="118" w:name="_Toc7453_WPSOffice_Level1"/>
      <w:bookmarkStart w:id="119"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15"/>
      <w:bookmarkEnd w:id="116"/>
      <w:bookmarkEnd w:id="117"/>
      <w:bookmarkEnd w:id="118"/>
      <w:r>
        <w:rPr>
          <w:rFonts w:hint="eastAsia" w:ascii="Times New Roman" w:hAnsi="Times New Roman" w:eastAsia="黑体" w:cs="Times New Roman"/>
          <w:sz w:val="24"/>
        </w:rPr>
        <w:t>供应商基本情况</w:t>
      </w:r>
      <w:bookmarkEnd w:id="119"/>
    </w:p>
    <w:p>
      <w:pPr>
        <w:spacing w:line="440" w:lineRule="exact"/>
        <w:ind w:left="1619" w:leftChars="771" w:firstLine="480"/>
      </w:pPr>
      <w:r>
        <w:rPr>
          <w:rFonts w:hint="eastAsia" w:ascii="Times New Roman" w:hAnsi="Times New Roman" w:eastAsia="黑体" w:cs="Times New Roman"/>
          <w:sz w:val="24"/>
        </w:rPr>
        <w:t>五</w:t>
      </w:r>
      <w:r>
        <w:rPr>
          <w:rFonts w:ascii="Times New Roman" w:hAnsi="Times New Roman" w:eastAsia="黑体" w:cs="Times New Roman"/>
          <w:sz w:val="24"/>
        </w:rPr>
        <w:t>、</w:t>
      </w:r>
      <w:r>
        <w:rPr>
          <w:rFonts w:hint="eastAsia" w:ascii="Times New Roman" w:hAnsi="Times New Roman" w:eastAsia="黑体" w:cs="Times New Roman"/>
          <w:sz w:val="24"/>
        </w:rPr>
        <w:t>近年类似业绩情况</w:t>
      </w:r>
    </w:p>
    <w:p>
      <w:pPr>
        <w:spacing w:line="440" w:lineRule="exact"/>
        <w:ind w:left="1619" w:leftChars="771" w:firstLine="480"/>
        <w:rPr>
          <w:rFonts w:ascii="Times New Roman" w:hAnsi="Times New Roman" w:eastAsia="黑体" w:cs="Times New Roman"/>
          <w:sz w:val="24"/>
        </w:rPr>
      </w:pPr>
      <w:bookmarkStart w:id="120" w:name="_Toc9006_WPSOffice_Level1"/>
      <w:bookmarkStart w:id="121" w:name="_Toc23751_WPSOffice_Level1"/>
      <w:bookmarkStart w:id="122" w:name="_Toc19601_WPSOffice_Level1"/>
      <w:bookmarkStart w:id="123" w:name="_Toc1578_WPSOffice_Level1"/>
      <w:bookmarkStart w:id="124" w:name="_Toc554_WPSOffice_Level1"/>
      <w:r>
        <w:rPr>
          <w:rFonts w:hint="eastAsia" w:ascii="Times New Roman" w:hAnsi="Times New Roman" w:eastAsia="黑体" w:cs="Times New Roman"/>
          <w:sz w:val="24"/>
        </w:rPr>
        <w:t>六、</w:t>
      </w:r>
      <w:bookmarkEnd w:id="120"/>
      <w:bookmarkEnd w:id="121"/>
      <w:bookmarkEnd w:id="122"/>
      <w:bookmarkEnd w:id="123"/>
      <w:bookmarkStart w:id="125" w:name="_Toc24262_WPSOffice_Level1"/>
      <w:bookmarkStart w:id="126" w:name="_Toc12459_WPSOffice_Level1"/>
      <w:r>
        <w:rPr>
          <w:rFonts w:hint="eastAsia" w:ascii="Times New Roman" w:hAnsi="Times New Roman" w:eastAsia="黑体" w:cs="Times New Roman"/>
          <w:sz w:val="24"/>
        </w:rPr>
        <w:t>拟委任的主要人员</w:t>
      </w:r>
      <w:bookmarkEnd w:id="124"/>
    </w:p>
    <w:p>
      <w:pPr>
        <w:spacing w:line="440" w:lineRule="exact"/>
        <w:ind w:left="1619" w:leftChars="771" w:firstLine="480"/>
        <w:rPr>
          <w:rFonts w:ascii="Times New Roman" w:hAnsi="Times New Roman" w:eastAsia="黑体" w:cs="Times New Roman"/>
          <w:sz w:val="24"/>
        </w:rPr>
      </w:pPr>
      <w:bookmarkStart w:id="127" w:name="_Toc32220_WPSOffice_Level1"/>
      <w:bookmarkStart w:id="128" w:name="_Toc20930_WPSOffice_Level1"/>
      <w:bookmarkStart w:id="129" w:name="_Toc927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25"/>
      <w:bookmarkEnd w:id="126"/>
      <w:bookmarkEnd w:id="127"/>
      <w:bookmarkEnd w:id="128"/>
      <w:r>
        <w:rPr>
          <w:rFonts w:hint="eastAsia" w:ascii="Times New Roman" w:hAnsi="Times New Roman" w:eastAsia="黑体" w:cs="Times New Roman"/>
          <w:sz w:val="24"/>
        </w:rPr>
        <w:t>信誉情况</w:t>
      </w:r>
      <w:bookmarkEnd w:id="129"/>
    </w:p>
    <w:p>
      <w:pPr>
        <w:spacing w:line="440" w:lineRule="exact"/>
        <w:ind w:left="1619" w:leftChars="771" w:firstLine="480"/>
        <w:rPr>
          <w:rFonts w:ascii="Times New Roman" w:hAnsi="Times New Roman" w:eastAsia="黑体" w:cs="Times New Roman"/>
          <w:sz w:val="24"/>
        </w:rPr>
      </w:pPr>
      <w:bookmarkStart w:id="130" w:name="_Toc32152_WPSOffice_Level1"/>
      <w:bookmarkStart w:id="131" w:name="_Toc23147_WPSOffice_Level1"/>
      <w:bookmarkStart w:id="132" w:name="_Toc4051_WPSOffice_Level1"/>
      <w:bookmarkStart w:id="133" w:name="_Toc30234_WPSOffice_Level1"/>
      <w:bookmarkStart w:id="134" w:name="_Toc3199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30"/>
      <w:bookmarkEnd w:id="131"/>
      <w:bookmarkEnd w:id="132"/>
      <w:bookmarkEnd w:id="133"/>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134"/>
    </w:p>
    <w:p>
      <w:pPr>
        <w:spacing w:line="440" w:lineRule="exact"/>
        <w:ind w:left="1619" w:leftChars="771" w:firstLine="480"/>
        <w:rPr>
          <w:rFonts w:ascii="Times New Roman" w:hAnsi="Times New Roman" w:eastAsia="黑体" w:cs="Times New Roman"/>
          <w:sz w:val="24"/>
        </w:rPr>
      </w:pPr>
      <w:bookmarkStart w:id="135" w:name="_Toc25973_WPSOffice_Level1"/>
      <w:bookmarkStart w:id="136" w:name="_Toc5885_WPSOffice_Level1"/>
      <w:bookmarkStart w:id="137" w:name="_Toc16988_WPSOffice_Level1"/>
      <w:r>
        <w:rPr>
          <w:rFonts w:hint="eastAsia" w:ascii="Times New Roman" w:hAnsi="Times New Roman" w:eastAsia="黑体" w:cs="Times New Roman"/>
          <w:sz w:val="24"/>
        </w:rPr>
        <w:t>九</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104"/>
      <w:bookmarkEnd w:id="135"/>
      <w:bookmarkEnd w:id="136"/>
      <w:bookmarkEnd w:id="137"/>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firstLine="400"/>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38" w:name="_Toc3972_WPSOffice_Level1"/>
      <w:bookmarkStart w:id="139" w:name="_Toc1687_WPSOffice_Level1"/>
      <w:bookmarkStart w:id="140" w:name="_Toc1017_WPSOffice_Level1"/>
      <w:bookmarkStart w:id="141" w:name="_Toc18312_WPSOffice_Level1"/>
      <w:bookmarkStart w:id="142" w:name="_Toc2765_WPSOffice_Level1"/>
      <w:bookmarkStart w:id="143" w:name="_Toc1362_WPSOffice_Level1"/>
      <w:r>
        <w:rPr>
          <w:rFonts w:ascii="Times New Roman" w:hAnsi="Times New Roman" w:eastAsia="黑体" w:cs="Times New Roman"/>
          <w:sz w:val="28"/>
          <w:szCs w:val="28"/>
        </w:rPr>
        <w:t>一、报价函</w:t>
      </w:r>
      <w:bookmarkEnd w:id="138"/>
      <w:bookmarkEnd w:id="139"/>
      <w:bookmarkEnd w:id="140"/>
      <w:bookmarkEnd w:id="141"/>
      <w:bookmarkEnd w:id="142"/>
      <w:bookmarkEnd w:id="143"/>
    </w:p>
    <w:p>
      <w:pPr>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w:t>
      </w:r>
      <w:r>
        <w:rPr>
          <w:rFonts w:hint="eastAsia" w:ascii="Times New Roman" w:hAnsi="Times New Roman" w:cs="Times New Roman"/>
          <w:sz w:val="24"/>
        </w:rPr>
        <w:t>愿意以人民币(大写)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(小写：¥ </w:t>
      </w:r>
      <w:r>
        <w:rPr>
          <w:rFonts w:hint="eastAsia" w:ascii="Times New Roman" w:hAnsi="Times New Roman" w:cs="Times New Roman"/>
          <w:sz w:val="24"/>
          <w:u w:val="single"/>
        </w:rPr>
        <w:t xml:space="preserve">      </w:t>
      </w:r>
      <w:r>
        <w:rPr>
          <w:rFonts w:hint="eastAsia" w:ascii="Times New Roman" w:hAnsi="Times New Roman" w:cs="Times New Roman"/>
          <w:sz w:val="24"/>
        </w:rPr>
        <w:t>)的总报价，不含税价（大写）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(小写：¥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)，税金（大写）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(小写：¥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)，税率</w:t>
      </w:r>
      <w:r>
        <w:rPr>
          <w:rFonts w:hint="eastAsia" w:ascii="Times New Roman" w:hAnsi="Times New Roman" w:cs="Times New Roman"/>
          <w:sz w:val="24"/>
          <w:u w:val="single"/>
        </w:rPr>
        <w:t xml:space="preserve">  </w:t>
      </w:r>
      <w:r>
        <w:rPr>
          <w:rFonts w:hint="eastAsia" w:ascii="Times New Roman" w:hAnsi="Times New Roman" w:cs="Times New Roman"/>
          <w:sz w:val="24"/>
        </w:rPr>
        <w:t>%。</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，安全目标达到</w:t>
      </w:r>
      <w:r>
        <w:rPr>
          <w:rFonts w:hint="eastAsia"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hint="eastAsia"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p>
    <w:p>
      <w:pPr>
        <w:spacing w:line="440" w:lineRule="exact"/>
        <w:jc w:val="center"/>
        <w:rPr>
          <w:rFonts w:ascii="Times New Roman" w:hAnsi="Times New Roman" w:eastAsia="黑体" w:cs="Times New Roman"/>
          <w:sz w:val="20"/>
          <w:szCs w:val="20"/>
        </w:rPr>
      </w:pPr>
    </w:p>
    <w:p>
      <w:pPr>
        <w:pStyle w:val="2"/>
        <w:rPr>
          <w:rFonts w:ascii="Times New Roman" w:hAnsi="Times New Roman" w:eastAsia="黑体" w:cs="Times New Roman"/>
          <w:sz w:val="20"/>
          <w:szCs w:val="20"/>
        </w:rPr>
      </w:pPr>
    </w:p>
    <w:p>
      <w:pPr>
        <w:pStyle w:val="2"/>
        <w:rPr>
          <w:rFonts w:ascii="Times New Roman" w:hAnsi="Times New Roman" w:eastAsia="黑体" w:cs="Times New Roman"/>
          <w:sz w:val="20"/>
          <w:szCs w:val="20"/>
        </w:rPr>
      </w:pPr>
    </w:p>
    <w:p>
      <w:pPr>
        <w:pStyle w:val="2"/>
        <w:rPr>
          <w:rFonts w:ascii="Times New Roman" w:hAnsi="Times New Roman" w:eastAsia="黑体" w:cs="Times New Roman"/>
          <w:sz w:val="20"/>
          <w:szCs w:val="20"/>
        </w:rPr>
      </w:pPr>
    </w:p>
    <w:p>
      <w:pPr>
        <w:pStyle w:val="2"/>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44" w:name="_Toc1996_WPSOffice_Level1"/>
      <w:bookmarkStart w:id="145" w:name="_Toc18668_WPSOffice_Level1"/>
      <w:bookmarkStart w:id="146" w:name="_Toc32350_WPSOffice_Level1"/>
      <w:bookmarkStart w:id="147" w:name="_Toc4951_WPSOffice_Level1"/>
      <w:bookmarkStart w:id="148" w:name="_Toc14563_WPSOffice_Level1"/>
      <w:bookmarkStart w:id="149" w:name="_Toc21740_WPSOffice_Level1"/>
      <w:r>
        <w:rPr>
          <w:rFonts w:ascii="Times New Roman" w:hAnsi="Times New Roman" w:eastAsia="黑体" w:cs="Times New Roman"/>
          <w:sz w:val="28"/>
          <w:szCs w:val="28"/>
        </w:rPr>
        <w:t>二、法定代表人身份证明及授权委托书</w:t>
      </w:r>
      <w:bookmarkEnd w:id="144"/>
      <w:bookmarkEnd w:id="145"/>
      <w:bookmarkEnd w:id="146"/>
      <w:bookmarkEnd w:id="147"/>
      <w:bookmarkEnd w:id="148"/>
      <w:bookmarkEnd w:id="149"/>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50" w:name="_Toc20803_WPSOffice_Level2"/>
      <w:bookmarkStart w:id="151" w:name="_Toc5153_WPSOffice_Level2"/>
      <w:r>
        <w:rPr>
          <w:rFonts w:ascii="Times New Roman" w:hAnsi="Times New Roman" w:eastAsia="黑体" w:cs="Times New Roman"/>
          <w:bCs/>
          <w:sz w:val="28"/>
          <w:szCs w:val="28"/>
        </w:rPr>
        <w:t>2-1 法定代表人身份证明</w:t>
      </w:r>
      <w:bookmarkEnd w:id="150"/>
      <w:bookmarkEnd w:id="151"/>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52" w:name="_Toc19768_WPSOffice_Level2"/>
      <w:bookmarkStart w:id="153"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52"/>
      <w:bookmarkEnd w:id="153"/>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54" w:name="_Toc28828_WPSOffice_Level1"/>
      <w:bookmarkStart w:id="155" w:name="_Toc32085_WPSOffice_Level1"/>
      <w:bookmarkStart w:id="156" w:name="_Toc24530_WPSOffice_Level1"/>
      <w:bookmarkStart w:id="157" w:name="_Toc24567_WPSOffice_Level1"/>
      <w:bookmarkStart w:id="158" w:name="_Toc26364_WPSOffice_Level1"/>
      <w:bookmarkStart w:id="159" w:name="_Toc27513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154"/>
      <w:bookmarkEnd w:id="155"/>
      <w:bookmarkEnd w:id="156"/>
      <w:bookmarkEnd w:id="157"/>
      <w:bookmarkEnd w:id="158"/>
      <w:bookmarkEnd w:id="159"/>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erReference r:id="rId6"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160" w:name="_Toc10646_WPSOffice_Level1"/>
      <w:bookmarkStart w:id="161" w:name="_Toc10436_WPSOffice_Level1"/>
      <w:bookmarkStart w:id="162" w:name="_Toc31445_WPSOffice_Level1"/>
      <w:bookmarkStart w:id="163" w:name="_Toc7738_WPSOffice_Level1"/>
      <w:bookmarkStart w:id="164" w:name="_Toc19015_WPSOffice_Level1"/>
      <w:bookmarkStart w:id="165" w:name="_Toc17124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66" w:name="_Toc27600_WPSOffice_Level2"/>
      <w:bookmarkStart w:id="167" w:name="_Toc2807_WPSOffice_Level2"/>
      <w:r>
        <w:rPr>
          <w:rFonts w:ascii="Times New Roman" w:hAnsi="Times New Roman" w:eastAsia="黑体" w:cs="Times New Roman"/>
          <w:sz w:val="28"/>
          <w:szCs w:val="28"/>
        </w:rPr>
        <w:t>供应商基本情况</w:t>
      </w:r>
      <w:bookmarkEnd w:id="160"/>
      <w:bookmarkEnd w:id="161"/>
      <w:bookmarkEnd w:id="162"/>
      <w:bookmarkEnd w:id="163"/>
      <w:bookmarkEnd w:id="164"/>
      <w:bookmarkEnd w:id="165"/>
      <w:bookmarkEnd w:id="166"/>
      <w:bookmarkEnd w:id="167"/>
    </w:p>
    <w:p>
      <w:pPr>
        <w:topLinePunct/>
        <w:spacing w:line="440" w:lineRule="exact"/>
        <w:jc w:val="center"/>
        <w:rPr>
          <w:rFonts w:ascii="Times New Roman" w:hAnsi="Times New Roman" w:cs="Times New Roman"/>
          <w:sz w:val="23"/>
          <w:szCs w:val="23"/>
        </w:rPr>
      </w:pPr>
    </w:p>
    <w:tbl>
      <w:tblPr>
        <w:tblStyle w:val="2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hint="eastAsia" w:ascii="Times New Roman" w:hAnsi="Times New Roman" w:cs="Times New Roman"/>
                <w:szCs w:val="21"/>
              </w:rPr>
              <w:t xml:space="preserve"> </w:t>
            </w:r>
            <w:r>
              <w:rPr>
                <w:rFonts w:ascii="Times New Roman" w:hAnsi="Times New Roman" w:cs="Times New Roman"/>
                <w:szCs w:val="21"/>
              </w:rPr>
              <w:t>投资参股的</w:t>
            </w:r>
            <w:r>
              <w:rPr>
                <w:rFonts w:hint="eastAsia" w:ascii="Times New Roman" w:hAnsi="Times New Roman" w:cs="Times New Roman"/>
                <w:szCs w:val="21"/>
              </w:rPr>
              <w:t xml:space="preserve"> </w:t>
            </w:r>
            <w:r>
              <w:rPr>
                <w:rFonts w:ascii="Times New Roman" w:hAnsi="Times New Roman" w:cs="Times New Roman"/>
                <w:szCs w:val="21"/>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opLinePunct/>
        <w:spacing w:line="340" w:lineRule="atLeast"/>
        <w:rPr>
          <w:rFonts w:ascii="Times New Roman" w:hAnsi="Times New Roman" w:eastAsia="黑体" w:cs="Times New Roman"/>
          <w:sz w:val="24"/>
        </w:rPr>
      </w:pPr>
    </w:p>
    <w:p>
      <w:pPr>
        <w:pStyle w:val="10"/>
        <w:spacing w:line="240" w:lineRule="atLeast"/>
        <w:ind w:left="560" w:leftChars="0" w:right="-512" w:rightChars="-244" w:hanging="560" w:hangingChars="200"/>
        <w:jc w:val="center"/>
        <w:rPr>
          <w:rFonts w:ascii="Times New Roman" w:hAnsi="Times New Roman" w:cs="Times New Roman"/>
          <w:sz w:val="28"/>
          <w:szCs w:val="28"/>
        </w:rPr>
      </w:pPr>
      <w:bookmarkStart w:id="168" w:name="_Toc5072_WPSOffice_Level1"/>
      <w:bookmarkStart w:id="169" w:name="_Toc3772_WPSOffice_Level1"/>
      <w:bookmarkStart w:id="170" w:name="_Toc1102_WPSOffice_Level1"/>
      <w:bookmarkStart w:id="171" w:name="_Toc18547_WPSOffice_Level1"/>
      <w:bookmarkStart w:id="172" w:name="_Toc19004_WPSOffice_Level1"/>
      <w:bookmarkStart w:id="173" w:name="_Toc20943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68"/>
      <w:bookmarkEnd w:id="169"/>
      <w:bookmarkEnd w:id="170"/>
      <w:bookmarkEnd w:id="171"/>
      <w:bookmarkEnd w:id="172"/>
      <w:bookmarkEnd w:id="173"/>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完成</w:t>
            </w:r>
            <w:r>
              <w:rPr>
                <w:rFonts w:ascii="Times New Roman" w:hAnsi="Times New Roman" w:cs="Times New Roman"/>
                <w:szCs w:val="21"/>
              </w:rPr>
              <w:t>日期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负责人</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 3年（指2021年03月01日至响应文件递交截止日期，以合同签订时间为准）具备1个住宅类交通标识类似业绩。备注：类似业绩是指单个合同金额80万元以上的住宅类交通标识工程业绩，业绩证明材料须提供含签订日期、合同金额相关信息的合同文件，并加盖响应人公章</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topLinePunct/>
        <w:spacing w:line="340" w:lineRule="atLeast"/>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74" w:name="_Toc29313_WPSOffice_Level1"/>
      <w:bookmarkStart w:id="175" w:name="_Toc8003_WPSOffice_Level1"/>
      <w:bookmarkStart w:id="176" w:name="_Toc24001_WPSOffice_Level1"/>
      <w:bookmarkStart w:id="177" w:name="_Toc1987_WPSOffice_Level1"/>
      <w:bookmarkStart w:id="178" w:name="_Toc31444_WPSOffice_Level1"/>
      <w:bookmarkStart w:id="179" w:name="_Toc4739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、拟委任的主要人</w:t>
      </w:r>
      <w:bookmarkEnd w:id="174"/>
      <w:r>
        <w:rPr>
          <w:rFonts w:ascii="Times New Roman" w:hAnsi="Times New Roman" w:eastAsia="黑体" w:cs="Times New Roman"/>
          <w:sz w:val="28"/>
          <w:szCs w:val="28"/>
        </w:rPr>
        <w:t>员</w:t>
      </w:r>
      <w:bookmarkEnd w:id="175"/>
      <w:bookmarkEnd w:id="176"/>
      <w:bookmarkEnd w:id="177"/>
      <w:bookmarkEnd w:id="178"/>
      <w:bookmarkEnd w:id="179"/>
    </w:p>
    <w:p>
      <w:pPr>
        <w:pStyle w:val="2"/>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80" w:name="_Toc24686_WPSOffice_Level2"/>
      <w:bookmarkStart w:id="181"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80"/>
      <w:bookmarkEnd w:id="181"/>
    </w:p>
    <w:tbl>
      <w:tblPr>
        <w:tblStyle w:val="2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w:t>
            </w:r>
            <w:r>
              <w:rPr>
                <w:rFonts w:hint="eastAsia" w:ascii="Times New Roman" w:hAnsi="Times New Roman" w:cs="Times New Roman"/>
                <w:szCs w:val="21"/>
              </w:rPr>
              <w:t xml:space="preserve"> </w:t>
            </w:r>
            <w:r>
              <w:rPr>
                <w:rFonts w:ascii="Times New Roman" w:hAnsi="Times New Roman" w:cs="Times New Roman"/>
                <w:szCs w:val="21"/>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10"/>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2、附有其有效的身份证、响应文件递交截止时间前一年内连续三个月在供应商本单位的社保缴费记录(其他证明材料)的复印件。所有证件的扫描件均应清晰可辨，否则，将被认为证书无效。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rPr>
      </w:pPr>
    </w:p>
    <w:p>
      <w:pPr>
        <w:pStyle w:val="10"/>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ind w:firstLine="560"/>
        <w:jc w:val="center"/>
        <w:rPr>
          <w:rFonts w:ascii="Times New Roman" w:hAnsi="Times New Roman" w:eastAsia="黑体" w:cs="Times New Roman"/>
          <w:sz w:val="28"/>
          <w:szCs w:val="28"/>
        </w:rPr>
      </w:pPr>
      <w:bookmarkStart w:id="182" w:name="_Toc3893_WPSOffice_Level1"/>
      <w:bookmarkStart w:id="183" w:name="_Toc26594_WPSOffice_Level1"/>
      <w:bookmarkStart w:id="184" w:name="_Toc12019_WPSOffice_Level1"/>
      <w:bookmarkStart w:id="185" w:name="_Toc5889_WPSOffice_Level1"/>
      <w:bookmarkStart w:id="186" w:name="_Toc5403_WPSOffice_Level1"/>
      <w:bookmarkStart w:id="187" w:name="_Toc10810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82"/>
      <w:bookmarkEnd w:id="183"/>
      <w:bookmarkEnd w:id="184"/>
      <w:bookmarkEnd w:id="185"/>
      <w:bookmarkEnd w:id="186"/>
      <w:bookmarkEnd w:id="187"/>
    </w:p>
    <w:p>
      <w:pPr>
        <w:topLinePunct/>
        <w:spacing w:line="440" w:lineRule="exact"/>
        <w:ind w:firstLine="460"/>
        <w:rPr>
          <w:rFonts w:ascii="Times New Roman" w:hAnsi="Times New Roman" w:cs="Times New Roman"/>
          <w:bCs/>
          <w:sz w:val="23"/>
          <w:szCs w:val="23"/>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ind w:firstLine="480"/>
        <w:jc w:val="left"/>
        <w:rPr>
          <w:rFonts w:ascii="Times New Roman" w:hAnsi="Times New Roman" w:cs="Times New Roman"/>
          <w:sz w:val="24"/>
        </w:rPr>
      </w:pPr>
      <w:r>
        <w:rPr>
          <w:rFonts w:ascii="Times New Roman" w:hAnsi="Times New Roman" w:cs="Times New Roman"/>
          <w:sz w:val="24"/>
        </w:rPr>
        <w:t>注：本表无需附证明材料。</w:t>
      </w:r>
    </w:p>
    <w:p>
      <w:pPr>
        <w:pStyle w:val="2"/>
        <w:ind w:firstLine="480"/>
        <w:jc w:val="right"/>
        <w:rPr>
          <w:rFonts w:ascii="Times New Roman" w:hAnsi="Times New Roman" w:cs="Times New Roman"/>
          <w:sz w:val="24"/>
        </w:rPr>
      </w:pPr>
    </w:p>
    <w:p>
      <w:pPr>
        <w:spacing w:line="440" w:lineRule="exact"/>
        <w:ind w:firstLine="480"/>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ind w:firstLine="480"/>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ind w:firstLine="480"/>
        <w:rPr>
          <w:rFonts w:ascii="Times New Roman" w:hAnsi="Times New Roman" w:cs="Times New Roman"/>
          <w:sz w:val="24"/>
        </w:rPr>
      </w:pPr>
    </w:p>
    <w:p>
      <w:pPr>
        <w:spacing w:line="400" w:lineRule="atLeast"/>
        <w:ind w:firstLine="540"/>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ind w:firstLine="560"/>
        <w:jc w:val="center"/>
        <w:rPr>
          <w:rFonts w:ascii="Times New Roman" w:hAnsi="Times New Roman" w:eastAsia="黑体" w:cs="Times New Roman"/>
          <w:sz w:val="28"/>
          <w:szCs w:val="28"/>
        </w:rPr>
      </w:pPr>
      <w:bookmarkStart w:id="188" w:name="_Toc2048_WPSOffice_Level1"/>
      <w:bookmarkStart w:id="189" w:name="_Toc23493_WPSOffice_Level1"/>
      <w:bookmarkStart w:id="190" w:name="_Toc1483_WPSOffice_Level1"/>
      <w:bookmarkStart w:id="191" w:name="_Toc10198_WPSOffice_Level1"/>
      <w:bookmarkStart w:id="192" w:name="_Toc19201_WPSOffice_Level1"/>
      <w:bookmarkStart w:id="193" w:name="_Toc13732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、施工组织设</w:t>
      </w:r>
      <w:bookmarkEnd w:id="188"/>
      <w:r>
        <w:rPr>
          <w:rFonts w:ascii="Times New Roman" w:hAnsi="Times New Roman" w:eastAsia="黑体" w:cs="Times New Roman"/>
          <w:sz w:val="28"/>
          <w:szCs w:val="28"/>
        </w:rPr>
        <w:t>计</w:t>
      </w:r>
      <w:bookmarkEnd w:id="189"/>
      <w:bookmarkEnd w:id="190"/>
      <w:bookmarkEnd w:id="191"/>
      <w:bookmarkEnd w:id="192"/>
      <w:bookmarkEnd w:id="193"/>
    </w:p>
    <w:p>
      <w:pPr>
        <w:spacing w:line="440" w:lineRule="exact"/>
        <w:ind w:firstLine="400"/>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194" w:name="_Toc16609_WPSOffice_Level2"/>
      <w:bookmarkStart w:id="195" w:name="_Toc4794_WPSOffice_Level2"/>
      <w:r>
        <w:rPr>
          <w:rFonts w:ascii="Times New Roman" w:hAnsi="Times New Roman" w:cs="Times New Roman"/>
          <w:sz w:val="24"/>
        </w:rPr>
        <w:br w:type="page"/>
      </w:r>
    </w:p>
    <w:bookmarkEnd w:id="194"/>
    <w:bookmarkEnd w:id="195"/>
    <w:p>
      <w:pPr>
        <w:spacing w:line="440" w:lineRule="exact"/>
        <w:ind w:firstLine="560"/>
        <w:jc w:val="center"/>
        <w:rPr>
          <w:rFonts w:ascii="Times New Roman" w:hAnsi="Times New Roman" w:eastAsia="黑体" w:cs="Times New Roman"/>
          <w:sz w:val="28"/>
          <w:szCs w:val="28"/>
        </w:rPr>
      </w:pPr>
      <w:bookmarkStart w:id="196" w:name="_Toc22303_WPSOffice_Level1"/>
      <w:bookmarkStart w:id="197" w:name="_Toc5957_WPSOffice_Level1"/>
      <w:bookmarkStart w:id="198" w:name="_Toc2428_WPSOffice_Level1"/>
      <w:bookmarkStart w:id="199" w:name="_Toc31963_WPSOffice_Level1"/>
      <w:bookmarkStart w:id="200" w:name="_Toc13165_WPSOffice_Level1"/>
      <w:bookmarkStart w:id="201" w:name="_Toc19034_WPSOffice_Level1"/>
      <w:r>
        <w:rPr>
          <w:rFonts w:hint="eastAsia" w:ascii="Times New Roman" w:hAnsi="Times New Roman" w:eastAsia="黑体" w:cs="Times New Roman"/>
          <w:sz w:val="28"/>
          <w:szCs w:val="28"/>
        </w:rPr>
        <w:t>九</w:t>
      </w:r>
      <w:r>
        <w:rPr>
          <w:rFonts w:ascii="Times New Roman" w:hAnsi="Times New Roman" w:eastAsia="黑体" w:cs="Times New Roman"/>
          <w:sz w:val="28"/>
          <w:szCs w:val="28"/>
        </w:rPr>
        <w:t>、其它</w:t>
      </w:r>
      <w:bookmarkEnd w:id="196"/>
      <w:r>
        <w:rPr>
          <w:rFonts w:ascii="Times New Roman" w:hAnsi="Times New Roman" w:eastAsia="黑体" w:cs="Times New Roman"/>
          <w:sz w:val="28"/>
          <w:szCs w:val="28"/>
        </w:rPr>
        <w:t>材料</w:t>
      </w:r>
      <w:bookmarkEnd w:id="197"/>
      <w:bookmarkEnd w:id="198"/>
      <w:bookmarkEnd w:id="199"/>
      <w:bookmarkEnd w:id="200"/>
      <w:bookmarkEnd w:id="201"/>
    </w:p>
    <w:p>
      <w:pPr>
        <w:pStyle w:val="26"/>
        <w:rPr>
          <w:rFonts w:hint="default" w:ascii="Times New Roman" w:hAnsi="Times New Roman"/>
          <w:color w:val="auto"/>
          <w:szCs w:val="28"/>
        </w:rPr>
      </w:pPr>
    </w:p>
    <w:p>
      <w:pPr>
        <w:pStyle w:val="2"/>
        <w:rPr>
          <w:rFonts w:ascii="Times New Roman" w:hAnsi="Times New Roman"/>
        </w:rPr>
      </w:pPr>
    </w:p>
    <w:p>
      <w:pPr>
        <w:pStyle w:val="26"/>
        <w:rPr>
          <w:rFonts w:hint="default" w:ascii="Times New Roman" w:hAnsi="Times New Roman"/>
          <w:color w:val="auto"/>
          <w:szCs w:val="28"/>
        </w:rPr>
      </w:pPr>
    </w:p>
    <w:p>
      <w:pPr>
        <w:spacing w:line="400" w:lineRule="atLeast"/>
        <w:jc w:val="left"/>
      </w:pPr>
    </w:p>
    <w:p>
      <w:pPr>
        <w:spacing w:line="400" w:lineRule="atLeast"/>
        <w:jc w:val="left"/>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853335"/>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cap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v:textbox>
            </v:shape>
          </w:pict>
        </mc:Fallback>
      </mc:AlternateContent>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3"/>
                            </w:rPr>
                            <w:instrText xml:space="preserve"> PAGE </w:instrText>
                          </w:r>
                          <w:r>
                            <w:fldChar w:fldCharType="separate"/>
                          </w:r>
                          <w:r>
                            <w:rPr>
                              <w:rStyle w:val="23"/>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60288;mso-width-relative:page;mso-height-relative:page;" filled="f" stroked="f" coordsize="21600,21600" o:gfxdata="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JIPk0QAAAAMBAAAPAAAAAAAAAAEAIAAAACIAAABkcnMvZG93bnJldi54bWxQSwECFAAUAAAA&#10;CACHTuJAt7D/Ry4CAABTBAAADgAAAAAAAAABACAAAAAgAQAAZHJzL2Uyb0RvYy54bWxQSwUGAAAA&#10;AAYABgBZAQAAwAUAAAAA&#10;">
              <v:fill on="f" focussize="0,0"/>
              <v:stroke on="f" weight="0.5pt"/>
              <v:imagedata o:title=""/>
              <o:lock v:ext="edit" aspectratio="f"/>
              <v:textbox inset="0mm,0mm,0mm,0mm" style="mso-fit-shape-to-text:t;">
                <w:txbxContent>
                  <w:p>
                    <w:pPr>
                      <w:jc w:val="center"/>
                    </w:pPr>
                    <w:r>
                      <w:fldChar w:fldCharType="begin"/>
                    </w:r>
                    <w:r>
                      <w:rPr>
                        <w:rStyle w:val="23"/>
                      </w:rPr>
                      <w:instrText xml:space="preserve"> PAGE </w:instrText>
                    </w:r>
                    <w:r>
                      <w:fldChar w:fldCharType="separate"/>
                    </w:r>
                    <w:r>
                      <w:rPr>
                        <w:rStyle w:val="23"/>
                      </w:rPr>
                      <w:t>- 131 -</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UIBI0QAAAAMBAAAPAAAAAAAAAAEAIAAAACIAAABkcnMvZG93&#10;bnJldi54bWxQSwECFAAUAAAACACHTuJAJez4Qs4BAACXAwAADgAAAAAAAAABACAAAAAgAQAAZHJz&#10;L2Uyb0RvYy54bWxQSwUGAAAAAAYABgBZAQAAYAU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354EDBAB"/>
    <w:multiLevelType w:val="singleLevel"/>
    <w:tmpl w:val="354EDBAB"/>
    <w:lvl w:ilvl="0" w:tentative="0">
      <w:start w:val="1"/>
      <w:numFmt w:val="chineseCounting"/>
      <w:suff w:val="nothing"/>
      <w:lvlText w:val="%1、"/>
      <w:lvlJc w:val="left"/>
      <w:rPr>
        <w:rFonts w:hint="eastAsia"/>
      </w:rPr>
    </w:lvl>
  </w:abstractNum>
  <w:abstractNum w:abstractNumId="3">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4">
    <w:nsid w:val="62687BB6"/>
    <w:multiLevelType w:val="multilevel"/>
    <w:tmpl w:val="62687BB6"/>
    <w:lvl w:ilvl="0" w:tentative="0">
      <w:start w:val="1"/>
      <w:numFmt w:val="decimal"/>
      <w:pStyle w:val="38"/>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0ZDI4OTI0YmM3OTZmMjVmY2FjMDIzZDY5ZWNjOGYifQ=="/>
  </w:docVars>
  <w:rsids>
    <w:rsidRoot w:val="007A1D11"/>
    <w:rsid w:val="00014B63"/>
    <w:rsid w:val="00030F68"/>
    <w:rsid w:val="00092509"/>
    <w:rsid w:val="00094038"/>
    <w:rsid w:val="000971DE"/>
    <w:rsid w:val="000E2537"/>
    <w:rsid w:val="00126DE8"/>
    <w:rsid w:val="0013587D"/>
    <w:rsid w:val="00144BAD"/>
    <w:rsid w:val="00154C6A"/>
    <w:rsid w:val="0016328C"/>
    <w:rsid w:val="001659E6"/>
    <w:rsid w:val="001905D9"/>
    <w:rsid w:val="001C0662"/>
    <w:rsid w:val="001F2E54"/>
    <w:rsid w:val="001F434A"/>
    <w:rsid w:val="00216FB7"/>
    <w:rsid w:val="002867D1"/>
    <w:rsid w:val="00286930"/>
    <w:rsid w:val="00294246"/>
    <w:rsid w:val="002D1AAA"/>
    <w:rsid w:val="002D69D5"/>
    <w:rsid w:val="00313685"/>
    <w:rsid w:val="0033703E"/>
    <w:rsid w:val="00337C3B"/>
    <w:rsid w:val="00371CCD"/>
    <w:rsid w:val="00383032"/>
    <w:rsid w:val="003A129C"/>
    <w:rsid w:val="003C6A6E"/>
    <w:rsid w:val="00461A07"/>
    <w:rsid w:val="00466F51"/>
    <w:rsid w:val="004932B8"/>
    <w:rsid w:val="0050487B"/>
    <w:rsid w:val="00512041"/>
    <w:rsid w:val="005B1C62"/>
    <w:rsid w:val="005C5CE0"/>
    <w:rsid w:val="005F6C00"/>
    <w:rsid w:val="00635D7E"/>
    <w:rsid w:val="006538E1"/>
    <w:rsid w:val="0067041E"/>
    <w:rsid w:val="006C0477"/>
    <w:rsid w:val="006D35BC"/>
    <w:rsid w:val="007160A3"/>
    <w:rsid w:val="0074436A"/>
    <w:rsid w:val="00774C23"/>
    <w:rsid w:val="00784B75"/>
    <w:rsid w:val="007A1D11"/>
    <w:rsid w:val="007A7876"/>
    <w:rsid w:val="007F0E50"/>
    <w:rsid w:val="00845C22"/>
    <w:rsid w:val="00855913"/>
    <w:rsid w:val="00867C0C"/>
    <w:rsid w:val="009155A2"/>
    <w:rsid w:val="00933919"/>
    <w:rsid w:val="009636B5"/>
    <w:rsid w:val="0098155F"/>
    <w:rsid w:val="009C64D5"/>
    <w:rsid w:val="009E3478"/>
    <w:rsid w:val="009F3F76"/>
    <w:rsid w:val="00A427C4"/>
    <w:rsid w:val="00A61D48"/>
    <w:rsid w:val="00A67DAC"/>
    <w:rsid w:val="00AD2F99"/>
    <w:rsid w:val="00AE1115"/>
    <w:rsid w:val="00AF0DA2"/>
    <w:rsid w:val="00AF322B"/>
    <w:rsid w:val="00B02139"/>
    <w:rsid w:val="00B1641A"/>
    <w:rsid w:val="00B43DBD"/>
    <w:rsid w:val="00B56F3C"/>
    <w:rsid w:val="00B91588"/>
    <w:rsid w:val="00BB5B8D"/>
    <w:rsid w:val="00BC47EE"/>
    <w:rsid w:val="00BE5CDE"/>
    <w:rsid w:val="00C17FE8"/>
    <w:rsid w:val="00C36AA5"/>
    <w:rsid w:val="00C42727"/>
    <w:rsid w:val="00CF04F4"/>
    <w:rsid w:val="00D40216"/>
    <w:rsid w:val="00D927BA"/>
    <w:rsid w:val="00DB61E0"/>
    <w:rsid w:val="00E11854"/>
    <w:rsid w:val="00E23ECC"/>
    <w:rsid w:val="00E359A8"/>
    <w:rsid w:val="00E52E66"/>
    <w:rsid w:val="00EF4C30"/>
    <w:rsid w:val="00F00CCA"/>
    <w:rsid w:val="00F43DE7"/>
    <w:rsid w:val="00F46E03"/>
    <w:rsid w:val="00FA1044"/>
    <w:rsid w:val="00FA6A75"/>
    <w:rsid w:val="00FD2626"/>
    <w:rsid w:val="010351AA"/>
    <w:rsid w:val="01082DCE"/>
    <w:rsid w:val="011029DE"/>
    <w:rsid w:val="0118392D"/>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AE4933"/>
    <w:rsid w:val="01B82FCB"/>
    <w:rsid w:val="01BC5540"/>
    <w:rsid w:val="01E22FC9"/>
    <w:rsid w:val="01ED4448"/>
    <w:rsid w:val="01F1324F"/>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C66A99"/>
    <w:rsid w:val="03DE6BBF"/>
    <w:rsid w:val="03EA0F31"/>
    <w:rsid w:val="03EC548F"/>
    <w:rsid w:val="03EE09A3"/>
    <w:rsid w:val="03FB6B06"/>
    <w:rsid w:val="04233E93"/>
    <w:rsid w:val="04295DA0"/>
    <w:rsid w:val="04352FAD"/>
    <w:rsid w:val="04533F12"/>
    <w:rsid w:val="046B7205"/>
    <w:rsid w:val="04772D64"/>
    <w:rsid w:val="0477369B"/>
    <w:rsid w:val="047B0214"/>
    <w:rsid w:val="047B3AB4"/>
    <w:rsid w:val="047C0CFA"/>
    <w:rsid w:val="047C234D"/>
    <w:rsid w:val="048328A9"/>
    <w:rsid w:val="04A61CAB"/>
    <w:rsid w:val="04B66E9B"/>
    <w:rsid w:val="04DF02F5"/>
    <w:rsid w:val="04EA65EC"/>
    <w:rsid w:val="04EC37D3"/>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5D35AE"/>
    <w:rsid w:val="066756C3"/>
    <w:rsid w:val="066E7995"/>
    <w:rsid w:val="0671119D"/>
    <w:rsid w:val="067C2170"/>
    <w:rsid w:val="067F0EB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AC0644"/>
    <w:rsid w:val="07B04AE7"/>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71359F"/>
    <w:rsid w:val="08762289"/>
    <w:rsid w:val="0891403F"/>
    <w:rsid w:val="08A45B58"/>
    <w:rsid w:val="08A75E9F"/>
    <w:rsid w:val="08B51EFD"/>
    <w:rsid w:val="08C520FD"/>
    <w:rsid w:val="08C644EB"/>
    <w:rsid w:val="08CB31B1"/>
    <w:rsid w:val="08CF1E16"/>
    <w:rsid w:val="08DE0702"/>
    <w:rsid w:val="08E36B16"/>
    <w:rsid w:val="08E60AEA"/>
    <w:rsid w:val="08EB2A28"/>
    <w:rsid w:val="08FC53C7"/>
    <w:rsid w:val="09033D88"/>
    <w:rsid w:val="09087B35"/>
    <w:rsid w:val="091033C7"/>
    <w:rsid w:val="092454AE"/>
    <w:rsid w:val="09247DCC"/>
    <w:rsid w:val="09346064"/>
    <w:rsid w:val="09351C66"/>
    <w:rsid w:val="094350D2"/>
    <w:rsid w:val="09520EC1"/>
    <w:rsid w:val="09522E65"/>
    <w:rsid w:val="095C0917"/>
    <w:rsid w:val="096126C2"/>
    <w:rsid w:val="098712D3"/>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C901D0"/>
    <w:rsid w:val="0ADB488F"/>
    <w:rsid w:val="0ADF4740"/>
    <w:rsid w:val="0AF404CA"/>
    <w:rsid w:val="0AFB188E"/>
    <w:rsid w:val="0B0404B0"/>
    <w:rsid w:val="0B2226D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A5D78"/>
    <w:rsid w:val="0D464A6E"/>
    <w:rsid w:val="0D4A1AD5"/>
    <w:rsid w:val="0D643C93"/>
    <w:rsid w:val="0D7E3CB5"/>
    <w:rsid w:val="0D840310"/>
    <w:rsid w:val="0D935001"/>
    <w:rsid w:val="0DA75F7E"/>
    <w:rsid w:val="0DB05E21"/>
    <w:rsid w:val="0DBF7F89"/>
    <w:rsid w:val="0DCE19B4"/>
    <w:rsid w:val="0DFF508E"/>
    <w:rsid w:val="0E14052A"/>
    <w:rsid w:val="0E1B588D"/>
    <w:rsid w:val="0E265F28"/>
    <w:rsid w:val="0E2873E9"/>
    <w:rsid w:val="0E342E47"/>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D3545"/>
    <w:rsid w:val="0F6F6315"/>
    <w:rsid w:val="0F7150A0"/>
    <w:rsid w:val="0F885318"/>
    <w:rsid w:val="0F8E65D1"/>
    <w:rsid w:val="0FB81B5B"/>
    <w:rsid w:val="0FBB477F"/>
    <w:rsid w:val="0FD00E8A"/>
    <w:rsid w:val="10090199"/>
    <w:rsid w:val="100B3702"/>
    <w:rsid w:val="10337DDD"/>
    <w:rsid w:val="103656D1"/>
    <w:rsid w:val="103C7917"/>
    <w:rsid w:val="103D5DF2"/>
    <w:rsid w:val="10432DCB"/>
    <w:rsid w:val="10482B91"/>
    <w:rsid w:val="10564A8B"/>
    <w:rsid w:val="1058602D"/>
    <w:rsid w:val="10687DDF"/>
    <w:rsid w:val="107311BA"/>
    <w:rsid w:val="10890BEF"/>
    <w:rsid w:val="108B3AFA"/>
    <w:rsid w:val="10B15280"/>
    <w:rsid w:val="10B71D11"/>
    <w:rsid w:val="10D50461"/>
    <w:rsid w:val="10DC0B54"/>
    <w:rsid w:val="10E24CD8"/>
    <w:rsid w:val="10E614CA"/>
    <w:rsid w:val="10ED7EC8"/>
    <w:rsid w:val="10F15163"/>
    <w:rsid w:val="10F26CDC"/>
    <w:rsid w:val="11163C77"/>
    <w:rsid w:val="11180C20"/>
    <w:rsid w:val="112E1506"/>
    <w:rsid w:val="11322F7C"/>
    <w:rsid w:val="1139732F"/>
    <w:rsid w:val="114A7510"/>
    <w:rsid w:val="114C66F9"/>
    <w:rsid w:val="114C67B8"/>
    <w:rsid w:val="115A53BC"/>
    <w:rsid w:val="11696085"/>
    <w:rsid w:val="116A5371"/>
    <w:rsid w:val="117A2D8F"/>
    <w:rsid w:val="118E75B9"/>
    <w:rsid w:val="1194155A"/>
    <w:rsid w:val="11A519A0"/>
    <w:rsid w:val="11AB3509"/>
    <w:rsid w:val="11D075C8"/>
    <w:rsid w:val="11D15819"/>
    <w:rsid w:val="11E52624"/>
    <w:rsid w:val="11E539D9"/>
    <w:rsid w:val="11E8124D"/>
    <w:rsid w:val="11EB49A1"/>
    <w:rsid w:val="11ED4284"/>
    <w:rsid w:val="11F9333E"/>
    <w:rsid w:val="11FE31AD"/>
    <w:rsid w:val="120072B3"/>
    <w:rsid w:val="120C7C36"/>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2A5815"/>
    <w:rsid w:val="13356A71"/>
    <w:rsid w:val="13471E04"/>
    <w:rsid w:val="134854F2"/>
    <w:rsid w:val="134F1862"/>
    <w:rsid w:val="13594F2D"/>
    <w:rsid w:val="135F1A74"/>
    <w:rsid w:val="13714DE1"/>
    <w:rsid w:val="13A70B15"/>
    <w:rsid w:val="13A74077"/>
    <w:rsid w:val="13BA32C6"/>
    <w:rsid w:val="13DE4A24"/>
    <w:rsid w:val="14003B68"/>
    <w:rsid w:val="14077165"/>
    <w:rsid w:val="140A4876"/>
    <w:rsid w:val="140D6D05"/>
    <w:rsid w:val="14231FAC"/>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7321C"/>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3D38BD"/>
    <w:rsid w:val="164432FC"/>
    <w:rsid w:val="164C1965"/>
    <w:rsid w:val="166867F9"/>
    <w:rsid w:val="16746A12"/>
    <w:rsid w:val="16763172"/>
    <w:rsid w:val="167E2633"/>
    <w:rsid w:val="168431DE"/>
    <w:rsid w:val="168C763B"/>
    <w:rsid w:val="168E2657"/>
    <w:rsid w:val="1690501F"/>
    <w:rsid w:val="16A4485A"/>
    <w:rsid w:val="16BB7661"/>
    <w:rsid w:val="16CE014D"/>
    <w:rsid w:val="16D147CF"/>
    <w:rsid w:val="16D74CB7"/>
    <w:rsid w:val="16D75AB8"/>
    <w:rsid w:val="16DB2D50"/>
    <w:rsid w:val="16DE5569"/>
    <w:rsid w:val="16E8299C"/>
    <w:rsid w:val="16F40010"/>
    <w:rsid w:val="16F50EE1"/>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21A7F"/>
    <w:rsid w:val="1803234F"/>
    <w:rsid w:val="180627B8"/>
    <w:rsid w:val="181B0B66"/>
    <w:rsid w:val="181F7B0D"/>
    <w:rsid w:val="1820217E"/>
    <w:rsid w:val="18215495"/>
    <w:rsid w:val="182C1B90"/>
    <w:rsid w:val="184D7361"/>
    <w:rsid w:val="1852638C"/>
    <w:rsid w:val="18611ADF"/>
    <w:rsid w:val="18660D83"/>
    <w:rsid w:val="188E0EA9"/>
    <w:rsid w:val="188F0361"/>
    <w:rsid w:val="18A34D8C"/>
    <w:rsid w:val="18AD0BE1"/>
    <w:rsid w:val="18BD2A66"/>
    <w:rsid w:val="18D119EE"/>
    <w:rsid w:val="18D15D9B"/>
    <w:rsid w:val="18FB62DA"/>
    <w:rsid w:val="190524A1"/>
    <w:rsid w:val="19111C94"/>
    <w:rsid w:val="19244ABB"/>
    <w:rsid w:val="193809C2"/>
    <w:rsid w:val="193A79D1"/>
    <w:rsid w:val="194E641E"/>
    <w:rsid w:val="195671A6"/>
    <w:rsid w:val="19651738"/>
    <w:rsid w:val="196842EC"/>
    <w:rsid w:val="196E297D"/>
    <w:rsid w:val="197A25C2"/>
    <w:rsid w:val="19805C57"/>
    <w:rsid w:val="198365E2"/>
    <w:rsid w:val="19A425F9"/>
    <w:rsid w:val="19B044DF"/>
    <w:rsid w:val="19C5729B"/>
    <w:rsid w:val="19E97CC7"/>
    <w:rsid w:val="19FA5475"/>
    <w:rsid w:val="19FC6A1D"/>
    <w:rsid w:val="1A110767"/>
    <w:rsid w:val="1A1964F4"/>
    <w:rsid w:val="1A576AE8"/>
    <w:rsid w:val="1A613F40"/>
    <w:rsid w:val="1A6450AE"/>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026F0"/>
    <w:rsid w:val="1B111758"/>
    <w:rsid w:val="1B12783F"/>
    <w:rsid w:val="1B142E41"/>
    <w:rsid w:val="1B1C4A6C"/>
    <w:rsid w:val="1B1F0131"/>
    <w:rsid w:val="1B2372F3"/>
    <w:rsid w:val="1B2709C3"/>
    <w:rsid w:val="1B2B5B2C"/>
    <w:rsid w:val="1B2C2EBB"/>
    <w:rsid w:val="1B300A8F"/>
    <w:rsid w:val="1B344A57"/>
    <w:rsid w:val="1B364075"/>
    <w:rsid w:val="1B387860"/>
    <w:rsid w:val="1B4D1D2E"/>
    <w:rsid w:val="1B527AB7"/>
    <w:rsid w:val="1B543436"/>
    <w:rsid w:val="1B551DC0"/>
    <w:rsid w:val="1B6F3157"/>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823F6"/>
    <w:rsid w:val="1C5A06F1"/>
    <w:rsid w:val="1C6063BC"/>
    <w:rsid w:val="1C614432"/>
    <w:rsid w:val="1C677760"/>
    <w:rsid w:val="1C8342C9"/>
    <w:rsid w:val="1C835541"/>
    <w:rsid w:val="1C941D10"/>
    <w:rsid w:val="1CA63F16"/>
    <w:rsid w:val="1CB63D17"/>
    <w:rsid w:val="1CBE15B8"/>
    <w:rsid w:val="1CC70AAE"/>
    <w:rsid w:val="1CF93C71"/>
    <w:rsid w:val="1CF97B60"/>
    <w:rsid w:val="1CFF2954"/>
    <w:rsid w:val="1D030883"/>
    <w:rsid w:val="1D041C43"/>
    <w:rsid w:val="1D1D75F2"/>
    <w:rsid w:val="1D392227"/>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717B3"/>
    <w:rsid w:val="1E197335"/>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1FF230E5"/>
    <w:rsid w:val="200A6703"/>
    <w:rsid w:val="200C298F"/>
    <w:rsid w:val="202303A0"/>
    <w:rsid w:val="202A4D90"/>
    <w:rsid w:val="20435529"/>
    <w:rsid w:val="20517E69"/>
    <w:rsid w:val="20530F08"/>
    <w:rsid w:val="2066350B"/>
    <w:rsid w:val="206E43B9"/>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D6398"/>
    <w:rsid w:val="21BB2CF9"/>
    <w:rsid w:val="21C30312"/>
    <w:rsid w:val="21C614F6"/>
    <w:rsid w:val="21D57E5D"/>
    <w:rsid w:val="21DE779F"/>
    <w:rsid w:val="21E1636B"/>
    <w:rsid w:val="21F54A2A"/>
    <w:rsid w:val="21F702E6"/>
    <w:rsid w:val="220B38D3"/>
    <w:rsid w:val="220F27AB"/>
    <w:rsid w:val="22247758"/>
    <w:rsid w:val="223029AE"/>
    <w:rsid w:val="223223EF"/>
    <w:rsid w:val="22490AC6"/>
    <w:rsid w:val="224B1241"/>
    <w:rsid w:val="22565E31"/>
    <w:rsid w:val="2265600B"/>
    <w:rsid w:val="226C24D9"/>
    <w:rsid w:val="227540C8"/>
    <w:rsid w:val="229A12CF"/>
    <w:rsid w:val="22A031AA"/>
    <w:rsid w:val="22C24A6D"/>
    <w:rsid w:val="22C438D9"/>
    <w:rsid w:val="22C43C49"/>
    <w:rsid w:val="22C77487"/>
    <w:rsid w:val="22C90127"/>
    <w:rsid w:val="22D008F7"/>
    <w:rsid w:val="22D42D6B"/>
    <w:rsid w:val="22DF5D82"/>
    <w:rsid w:val="22E32B95"/>
    <w:rsid w:val="22FD581D"/>
    <w:rsid w:val="231A6446"/>
    <w:rsid w:val="23200D04"/>
    <w:rsid w:val="23252F62"/>
    <w:rsid w:val="2329015A"/>
    <w:rsid w:val="232A0E6E"/>
    <w:rsid w:val="233B006C"/>
    <w:rsid w:val="233D3CAD"/>
    <w:rsid w:val="233D41F6"/>
    <w:rsid w:val="233E1D9D"/>
    <w:rsid w:val="23407BB3"/>
    <w:rsid w:val="235A23F9"/>
    <w:rsid w:val="23690BF3"/>
    <w:rsid w:val="2383404C"/>
    <w:rsid w:val="238A746E"/>
    <w:rsid w:val="23924281"/>
    <w:rsid w:val="23BD6673"/>
    <w:rsid w:val="23D003FB"/>
    <w:rsid w:val="23E06FF0"/>
    <w:rsid w:val="23E54CEB"/>
    <w:rsid w:val="23E97DD8"/>
    <w:rsid w:val="23F26B67"/>
    <w:rsid w:val="23FC5D5D"/>
    <w:rsid w:val="241B5CF9"/>
    <w:rsid w:val="24321DFA"/>
    <w:rsid w:val="24530C8F"/>
    <w:rsid w:val="24573183"/>
    <w:rsid w:val="24636547"/>
    <w:rsid w:val="24717D47"/>
    <w:rsid w:val="2474309C"/>
    <w:rsid w:val="2478599C"/>
    <w:rsid w:val="2493716D"/>
    <w:rsid w:val="249C788A"/>
    <w:rsid w:val="24B606DB"/>
    <w:rsid w:val="24B82B32"/>
    <w:rsid w:val="24BB49EA"/>
    <w:rsid w:val="24BB6D5B"/>
    <w:rsid w:val="24C73500"/>
    <w:rsid w:val="24D00AC5"/>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A33DD"/>
    <w:rsid w:val="257F5882"/>
    <w:rsid w:val="25821957"/>
    <w:rsid w:val="25904066"/>
    <w:rsid w:val="25983C75"/>
    <w:rsid w:val="25987884"/>
    <w:rsid w:val="25B07FA3"/>
    <w:rsid w:val="25BF330D"/>
    <w:rsid w:val="25C27A7C"/>
    <w:rsid w:val="25C668FF"/>
    <w:rsid w:val="25C76039"/>
    <w:rsid w:val="25CD1FBC"/>
    <w:rsid w:val="25E31DB1"/>
    <w:rsid w:val="25E45546"/>
    <w:rsid w:val="25F341F9"/>
    <w:rsid w:val="25FC0ECC"/>
    <w:rsid w:val="25FD4EFD"/>
    <w:rsid w:val="2603678D"/>
    <w:rsid w:val="26043475"/>
    <w:rsid w:val="26050C41"/>
    <w:rsid w:val="261A0D6A"/>
    <w:rsid w:val="26355556"/>
    <w:rsid w:val="26356020"/>
    <w:rsid w:val="264826D8"/>
    <w:rsid w:val="26486C62"/>
    <w:rsid w:val="26581526"/>
    <w:rsid w:val="265C3A46"/>
    <w:rsid w:val="268454BF"/>
    <w:rsid w:val="26845C6C"/>
    <w:rsid w:val="268770EA"/>
    <w:rsid w:val="269408C3"/>
    <w:rsid w:val="269B51B0"/>
    <w:rsid w:val="26A01635"/>
    <w:rsid w:val="26AF5A72"/>
    <w:rsid w:val="26BE55EA"/>
    <w:rsid w:val="26C35476"/>
    <w:rsid w:val="26C67DB3"/>
    <w:rsid w:val="26C762DB"/>
    <w:rsid w:val="26DC20E5"/>
    <w:rsid w:val="26E409AC"/>
    <w:rsid w:val="26F97745"/>
    <w:rsid w:val="270E3585"/>
    <w:rsid w:val="27160EE4"/>
    <w:rsid w:val="271A7B24"/>
    <w:rsid w:val="27205A60"/>
    <w:rsid w:val="274B353E"/>
    <w:rsid w:val="27524FD4"/>
    <w:rsid w:val="275319F4"/>
    <w:rsid w:val="27613BAA"/>
    <w:rsid w:val="276A2C20"/>
    <w:rsid w:val="276E6872"/>
    <w:rsid w:val="277473F6"/>
    <w:rsid w:val="278E3101"/>
    <w:rsid w:val="27941CFF"/>
    <w:rsid w:val="279C3C4F"/>
    <w:rsid w:val="27BC1DF8"/>
    <w:rsid w:val="27C7398D"/>
    <w:rsid w:val="27E72237"/>
    <w:rsid w:val="27E93777"/>
    <w:rsid w:val="28036557"/>
    <w:rsid w:val="28076074"/>
    <w:rsid w:val="280D4614"/>
    <w:rsid w:val="281846D4"/>
    <w:rsid w:val="281B797E"/>
    <w:rsid w:val="282F78FD"/>
    <w:rsid w:val="28433F5A"/>
    <w:rsid w:val="28434800"/>
    <w:rsid w:val="28436F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1B35"/>
    <w:rsid w:val="291D6CFF"/>
    <w:rsid w:val="291E564E"/>
    <w:rsid w:val="293D4E14"/>
    <w:rsid w:val="29454998"/>
    <w:rsid w:val="296E0382"/>
    <w:rsid w:val="29741CFA"/>
    <w:rsid w:val="297C2E49"/>
    <w:rsid w:val="29846A65"/>
    <w:rsid w:val="29941624"/>
    <w:rsid w:val="299554BA"/>
    <w:rsid w:val="29956056"/>
    <w:rsid w:val="29A024A9"/>
    <w:rsid w:val="29A10538"/>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144C9"/>
    <w:rsid w:val="2A48150B"/>
    <w:rsid w:val="2A4C0A1A"/>
    <w:rsid w:val="2A4C6A3D"/>
    <w:rsid w:val="2A633D38"/>
    <w:rsid w:val="2A655AFF"/>
    <w:rsid w:val="2A683A04"/>
    <w:rsid w:val="2A715DEA"/>
    <w:rsid w:val="2A7D6818"/>
    <w:rsid w:val="2A97631D"/>
    <w:rsid w:val="2A983CC8"/>
    <w:rsid w:val="2AB4054B"/>
    <w:rsid w:val="2AB64A15"/>
    <w:rsid w:val="2AB843C9"/>
    <w:rsid w:val="2AD307BD"/>
    <w:rsid w:val="2AFE46B0"/>
    <w:rsid w:val="2B073FBC"/>
    <w:rsid w:val="2B22095A"/>
    <w:rsid w:val="2B2D0EF2"/>
    <w:rsid w:val="2B392180"/>
    <w:rsid w:val="2B3C1D66"/>
    <w:rsid w:val="2B3E28EB"/>
    <w:rsid w:val="2B574C22"/>
    <w:rsid w:val="2B6E1F63"/>
    <w:rsid w:val="2B6F273D"/>
    <w:rsid w:val="2B7A1CBB"/>
    <w:rsid w:val="2B8F6902"/>
    <w:rsid w:val="2B9215B2"/>
    <w:rsid w:val="2B981E7E"/>
    <w:rsid w:val="2BA42C24"/>
    <w:rsid w:val="2BB623FD"/>
    <w:rsid w:val="2BC566C7"/>
    <w:rsid w:val="2BC74E34"/>
    <w:rsid w:val="2BC81736"/>
    <w:rsid w:val="2BE3479D"/>
    <w:rsid w:val="2BF93F6F"/>
    <w:rsid w:val="2BFB3F34"/>
    <w:rsid w:val="2BFD4209"/>
    <w:rsid w:val="2C09048B"/>
    <w:rsid w:val="2C19133D"/>
    <w:rsid w:val="2C1A1B3D"/>
    <w:rsid w:val="2C221397"/>
    <w:rsid w:val="2C2B0D8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C3CC9"/>
    <w:rsid w:val="2E2D39B2"/>
    <w:rsid w:val="2E3944DD"/>
    <w:rsid w:val="2E524DAC"/>
    <w:rsid w:val="2E553313"/>
    <w:rsid w:val="2E6C4C6B"/>
    <w:rsid w:val="2E760F81"/>
    <w:rsid w:val="2E7A64DB"/>
    <w:rsid w:val="2E7F0E45"/>
    <w:rsid w:val="2E816717"/>
    <w:rsid w:val="2E8C1D17"/>
    <w:rsid w:val="2E935E42"/>
    <w:rsid w:val="2EB774D0"/>
    <w:rsid w:val="2ED62883"/>
    <w:rsid w:val="2EE04406"/>
    <w:rsid w:val="2EE642AD"/>
    <w:rsid w:val="2EF86FE5"/>
    <w:rsid w:val="2F05447E"/>
    <w:rsid w:val="2F1C3457"/>
    <w:rsid w:val="2F3E204E"/>
    <w:rsid w:val="2F3F6D21"/>
    <w:rsid w:val="2F427B64"/>
    <w:rsid w:val="2F77157D"/>
    <w:rsid w:val="2F7A7771"/>
    <w:rsid w:val="2F917E15"/>
    <w:rsid w:val="2FA70B41"/>
    <w:rsid w:val="2FAE780E"/>
    <w:rsid w:val="2FB05185"/>
    <w:rsid w:val="2FC42573"/>
    <w:rsid w:val="2FC44C55"/>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90B16"/>
    <w:rsid w:val="31525124"/>
    <w:rsid w:val="31595687"/>
    <w:rsid w:val="31606BA9"/>
    <w:rsid w:val="317B5137"/>
    <w:rsid w:val="31B173FD"/>
    <w:rsid w:val="31B535AF"/>
    <w:rsid w:val="31D525E6"/>
    <w:rsid w:val="31DC0F7C"/>
    <w:rsid w:val="31EA44FA"/>
    <w:rsid w:val="31F304A6"/>
    <w:rsid w:val="31F462C5"/>
    <w:rsid w:val="32091243"/>
    <w:rsid w:val="320E77C6"/>
    <w:rsid w:val="32171056"/>
    <w:rsid w:val="32294765"/>
    <w:rsid w:val="327457E2"/>
    <w:rsid w:val="327E7CD9"/>
    <w:rsid w:val="32973D0A"/>
    <w:rsid w:val="32A50AA2"/>
    <w:rsid w:val="32A864FE"/>
    <w:rsid w:val="32B34AE7"/>
    <w:rsid w:val="32B56E69"/>
    <w:rsid w:val="32BA0999"/>
    <w:rsid w:val="32C26851"/>
    <w:rsid w:val="32D87E02"/>
    <w:rsid w:val="32F445A5"/>
    <w:rsid w:val="32FC5FC6"/>
    <w:rsid w:val="330F4401"/>
    <w:rsid w:val="3312314E"/>
    <w:rsid w:val="331E1E02"/>
    <w:rsid w:val="33353215"/>
    <w:rsid w:val="33435036"/>
    <w:rsid w:val="33472431"/>
    <w:rsid w:val="335D7B29"/>
    <w:rsid w:val="336B0B61"/>
    <w:rsid w:val="33707938"/>
    <w:rsid w:val="337607F4"/>
    <w:rsid w:val="338C3ABE"/>
    <w:rsid w:val="33A867A1"/>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636319"/>
    <w:rsid w:val="347A05C3"/>
    <w:rsid w:val="347E5080"/>
    <w:rsid w:val="348D4D75"/>
    <w:rsid w:val="34902CE5"/>
    <w:rsid w:val="34965FFC"/>
    <w:rsid w:val="349E0792"/>
    <w:rsid w:val="34A775AB"/>
    <w:rsid w:val="34B475AD"/>
    <w:rsid w:val="34B70E18"/>
    <w:rsid w:val="34B7229E"/>
    <w:rsid w:val="34C1398D"/>
    <w:rsid w:val="34C71A6F"/>
    <w:rsid w:val="34D33C1F"/>
    <w:rsid w:val="34DB71D0"/>
    <w:rsid w:val="34E077DE"/>
    <w:rsid w:val="34EB3FFA"/>
    <w:rsid w:val="34F230ED"/>
    <w:rsid w:val="3514219D"/>
    <w:rsid w:val="351569ED"/>
    <w:rsid w:val="35572F42"/>
    <w:rsid w:val="35680A2A"/>
    <w:rsid w:val="35682CA4"/>
    <w:rsid w:val="356A367B"/>
    <w:rsid w:val="356E330B"/>
    <w:rsid w:val="356E5C0E"/>
    <w:rsid w:val="357375C4"/>
    <w:rsid w:val="3575576F"/>
    <w:rsid w:val="357762F6"/>
    <w:rsid w:val="357A743D"/>
    <w:rsid w:val="358B52B4"/>
    <w:rsid w:val="35933EB9"/>
    <w:rsid w:val="35990A65"/>
    <w:rsid w:val="359D6299"/>
    <w:rsid w:val="35A21A40"/>
    <w:rsid w:val="35A348F3"/>
    <w:rsid w:val="35A6171B"/>
    <w:rsid w:val="35A82F5F"/>
    <w:rsid w:val="35B603F5"/>
    <w:rsid w:val="35CC2089"/>
    <w:rsid w:val="35EF1F65"/>
    <w:rsid w:val="35EF4E9F"/>
    <w:rsid w:val="36011B96"/>
    <w:rsid w:val="360D3064"/>
    <w:rsid w:val="363F7B46"/>
    <w:rsid w:val="364F1AF3"/>
    <w:rsid w:val="3652616D"/>
    <w:rsid w:val="366046B9"/>
    <w:rsid w:val="366135C0"/>
    <w:rsid w:val="366A5627"/>
    <w:rsid w:val="36AC26B2"/>
    <w:rsid w:val="36B630C0"/>
    <w:rsid w:val="36C81B5B"/>
    <w:rsid w:val="36CA4796"/>
    <w:rsid w:val="36D12B9D"/>
    <w:rsid w:val="36D305E5"/>
    <w:rsid w:val="36EA7FF2"/>
    <w:rsid w:val="37017235"/>
    <w:rsid w:val="371B2070"/>
    <w:rsid w:val="373D169F"/>
    <w:rsid w:val="37471939"/>
    <w:rsid w:val="374E143A"/>
    <w:rsid w:val="375145A6"/>
    <w:rsid w:val="37522485"/>
    <w:rsid w:val="37613C52"/>
    <w:rsid w:val="376C7468"/>
    <w:rsid w:val="376F2885"/>
    <w:rsid w:val="377358ED"/>
    <w:rsid w:val="377835C6"/>
    <w:rsid w:val="377F0400"/>
    <w:rsid w:val="378810A1"/>
    <w:rsid w:val="37A61C82"/>
    <w:rsid w:val="37CE1633"/>
    <w:rsid w:val="37DD1744"/>
    <w:rsid w:val="37DE77FC"/>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97912"/>
    <w:rsid w:val="38BD3B1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BC7EA8"/>
    <w:rsid w:val="39C04E20"/>
    <w:rsid w:val="39CA3463"/>
    <w:rsid w:val="39CF6662"/>
    <w:rsid w:val="39D13A82"/>
    <w:rsid w:val="39F143A6"/>
    <w:rsid w:val="39F2252B"/>
    <w:rsid w:val="39F8041B"/>
    <w:rsid w:val="3A0E5A41"/>
    <w:rsid w:val="3A10216C"/>
    <w:rsid w:val="3A2175BE"/>
    <w:rsid w:val="3A224D17"/>
    <w:rsid w:val="3A2A7F00"/>
    <w:rsid w:val="3A593D19"/>
    <w:rsid w:val="3A597041"/>
    <w:rsid w:val="3A5F16D1"/>
    <w:rsid w:val="3A6A27D7"/>
    <w:rsid w:val="3A6A35C8"/>
    <w:rsid w:val="3A863FC4"/>
    <w:rsid w:val="3A8E6700"/>
    <w:rsid w:val="3A993EAE"/>
    <w:rsid w:val="3AAA60BB"/>
    <w:rsid w:val="3AB54B04"/>
    <w:rsid w:val="3ABC09E4"/>
    <w:rsid w:val="3AC407C9"/>
    <w:rsid w:val="3AD52038"/>
    <w:rsid w:val="3ADA700B"/>
    <w:rsid w:val="3ADD1A06"/>
    <w:rsid w:val="3AF06CC1"/>
    <w:rsid w:val="3AF754CB"/>
    <w:rsid w:val="3AFF308E"/>
    <w:rsid w:val="3B084294"/>
    <w:rsid w:val="3B183E18"/>
    <w:rsid w:val="3B1E4EF7"/>
    <w:rsid w:val="3B215631"/>
    <w:rsid w:val="3B2D6711"/>
    <w:rsid w:val="3B51309B"/>
    <w:rsid w:val="3B5318D1"/>
    <w:rsid w:val="3B605431"/>
    <w:rsid w:val="3B883403"/>
    <w:rsid w:val="3B8E1258"/>
    <w:rsid w:val="3B91742D"/>
    <w:rsid w:val="3B954F85"/>
    <w:rsid w:val="3B9C0E95"/>
    <w:rsid w:val="3B9F5CAC"/>
    <w:rsid w:val="3BA12001"/>
    <w:rsid w:val="3BA32D54"/>
    <w:rsid w:val="3BA96A60"/>
    <w:rsid w:val="3BAB3434"/>
    <w:rsid w:val="3BBD0AD4"/>
    <w:rsid w:val="3BBE52E7"/>
    <w:rsid w:val="3BC80F89"/>
    <w:rsid w:val="3BCA6137"/>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323A5"/>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911903"/>
    <w:rsid w:val="3DBF1661"/>
    <w:rsid w:val="3DC05EF5"/>
    <w:rsid w:val="3DEB4A20"/>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4159E0"/>
    <w:rsid w:val="3F507482"/>
    <w:rsid w:val="3F5661ED"/>
    <w:rsid w:val="3F5C181E"/>
    <w:rsid w:val="3F610EBC"/>
    <w:rsid w:val="3F6263C0"/>
    <w:rsid w:val="3F700303"/>
    <w:rsid w:val="3F755AF4"/>
    <w:rsid w:val="3F7A035D"/>
    <w:rsid w:val="3F7F2AED"/>
    <w:rsid w:val="3F8568C6"/>
    <w:rsid w:val="3F895D56"/>
    <w:rsid w:val="3F9C6528"/>
    <w:rsid w:val="3FAF7F99"/>
    <w:rsid w:val="3FC24EFB"/>
    <w:rsid w:val="3FC42D5D"/>
    <w:rsid w:val="3FC470DF"/>
    <w:rsid w:val="3FC74278"/>
    <w:rsid w:val="3FC74891"/>
    <w:rsid w:val="3FDD44BD"/>
    <w:rsid w:val="3FEE4FBE"/>
    <w:rsid w:val="3FF006FF"/>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D04CE6"/>
    <w:rsid w:val="40F933C3"/>
    <w:rsid w:val="4109777D"/>
    <w:rsid w:val="411F6223"/>
    <w:rsid w:val="41390C96"/>
    <w:rsid w:val="413B683F"/>
    <w:rsid w:val="414145F5"/>
    <w:rsid w:val="41466C95"/>
    <w:rsid w:val="414B6987"/>
    <w:rsid w:val="4158647C"/>
    <w:rsid w:val="416B0B98"/>
    <w:rsid w:val="416E7E6D"/>
    <w:rsid w:val="41740777"/>
    <w:rsid w:val="4175321B"/>
    <w:rsid w:val="418F78FA"/>
    <w:rsid w:val="4194042E"/>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A45688"/>
    <w:rsid w:val="43B31196"/>
    <w:rsid w:val="43BB720C"/>
    <w:rsid w:val="43BC335F"/>
    <w:rsid w:val="43C92B32"/>
    <w:rsid w:val="43EB7ACC"/>
    <w:rsid w:val="43F21C60"/>
    <w:rsid w:val="43FC1AB4"/>
    <w:rsid w:val="442A1993"/>
    <w:rsid w:val="442F4C28"/>
    <w:rsid w:val="44402F95"/>
    <w:rsid w:val="444C6BA7"/>
    <w:rsid w:val="447D407D"/>
    <w:rsid w:val="448A0E5D"/>
    <w:rsid w:val="448C665C"/>
    <w:rsid w:val="449231FF"/>
    <w:rsid w:val="449D45F7"/>
    <w:rsid w:val="44A435AA"/>
    <w:rsid w:val="44A872EC"/>
    <w:rsid w:val="44A91136"/>
    <w:rsid w:val="44AA7083"/>
    <w:rsid w:val="44BC0A03"/>
    <w:rsid w:val="44C07EB7"/>
    <w:rsid w:val="44C41CD0"/>
    <w:rsid w:val="44E80B03"/>
    <w:rsid w:val="44EB55BF"/>
    <w:rsid w:val="4516216D"/>
    <w:rsid w:val="451F0B3D"/>
    <w:rsid w:val="45282B19"/>
    <w:rsid w:val="452D2698"/>
    <w:rsid w:val="453A0233"/>
    <w:rsid w:val="454E3658"/>
    <w:rsid w:val="457F56BD"/>
    <w:rsid w:val="45836B41"/>
    <w:rsid w:val="45BA3A93"/>
    <w:rsid w:val="45BE2A1A"/>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857AB"/>
    <w:rsid w:val="46CF7E90"/>
    <w:rsid w:val="46D13DB8"/>
    <w:rsid w:val="46F9177F"/>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1F3FEC"/>
    <w:rsid w:val="4820516A"/>
    <w:rsid w:val="48273A4D"/>
    <w:rsid w:val="483F2C13"/>
    <w:rsid w:val="484655CE"/>
    <w:rsid w:val="48490C72"/>
    <w:rsid w:val="484A471E"/>
    <w:rsid w:val="484B5430"/>
    <w:rsid w:val="485162E7"/>
    <w:rsid w:val="48560B58"/>
    <w:rsid w:val="48562972"/>
    <w:rsid w:val="48615205"/>
    <w:rsid w:val="486B3599"/>
    <w:rsid w:val="486F3FB1"/>
    <w:rsid w:val="487452ED"/>
    <w:rsid w:val="487E75DD"/>
    <w:rsid w:val="48936FC5"/>
    <w:rsid w:val="489414DE"/>
    <w:rsid w:val="48A61185"/>
    <w:rsid w:val="48C440BD"/>
    <w:rsid w:val="48D16ECE"/>
    <w:rsid w:val="48D17B15"/>
    <w:rsid w:val="48DA77C2"/>
    <w:rsid w:val="48F814A8"/>
    <w:rsid w:val="490414C0"/>
    <w:rsid w:val="491171A1"/>
    <w:rsid w:val="4927647B"/>
    <w:rsid w:val="492C5797"/>
    <w:rsid w:val="494B2969"/>
    <w:rsid w:val="495561DE"/>
    <w:rsid w:val="495F48E7"/>
    <w:rsid w:val="49780AA5"/>
    <w:rsid w:val="497C4A7C"/>
    <w:rsid w:val="49863AD0"/>
    <w:rsid w:val="499C2D6D"/>
    <w:rsid w:val="499D11DE"/>
    <w:rsid w:val="49BF7880"/>
    <w:rsid w:val="49C82B49"/>
    <w:rsid w:val="49D56C49"/>
    <w:rsid w:val="49D855C7"/>
    <w:rsid w:val="49EC4258"/>
    <w:rsid w:val="49F80512"/>
    <w:rsid w:val="49FF42B2"/>
    <w:rsid w:val="4A0F1A96"/>
    <w:rsid w:val="4A134E44"/>
    <w:rsid w:val="4A21436D"/>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43B21"/>
    <w:rsid w:val="4B9A718E"/>
    <w:rsid w:val="4BAB096B"/>
    <w:rsid w:val="4BAF7E06"/>
    <w:rsid w:val="4BBB3716"/>
    <w:rsid w:val="4BBD0359"/>
    <w:rsid w:val="4BD46636"/>
    <w:rsid w:val="4BD6500F"/>
    <w:rsid w:val="4BEE45CB"/>
    <w:rsid w:val="4BF326C8"/>
    <w:rsid w:val="4C00298C"/>
    <w:rsid w:val="4C03036E"/>
    <w:rsid w:val="4C082496"/>
    <w:rsid w:val="4C08678F"/>
    <w:rsid w:val="4C1017DC"/>
    <w:rsid w:val="4C165F9F"/>
    <w:rsid w:val="4C1B5AC4"/>
    <w:rsid w:val="4C1D632B"/>
    <w:rsid w:val="4C396B73"/>
    <w:rsid w:val="4C426781"/>
    <w:rsid w:val="4C4403B6"/>
    <w:rsid w:val="4C4B37EA"/>
    <w:rsid w:val="4C4C5496"/>
    <w:rsid w:val="4C6A1CEF"/>
    <w:rsid w:val="4C6C3432"/>
    <w:rsid w:val="4C854697"/>
    <w:rsid w:val="4C8A5FB4"/>
    <w:rsid w:val="4C8C21FB"/>
    <w:rsid w:val="4C9153FC"/>
    <w:rsid w:val="4C9D08B4"/>
    <w:rsid w:val="4CA66198"/>
    <w:rsid w:val="4CAA102F"/>
    <w:rsid w:val="4CAC7A71"/>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A12297"/>
    <w:rsid w:val="4DBF6851"/>
    <w:rsid w:val="4DC70EF4"/>
    <w:rsid w:val="4DC90683"/>
    <w:rsid w:val="4DC94ACF"/>
    <w:rsid w:val="4DD61D2A"/>
    <w:rsid w:val="4DE54991"/>
    <w:rsid w:val="4DE705CD"/>
    <w:rsid w:val="4DF05258"/>
    <w:rsid w:val="4E252D2A"/>
    <w:rsid w:val="4E3D2E04"/>
    <w:rsid w:val="4E3F795C"/>
    <w:rsid w:val="4E40707C"/>
    <w:rsid w:val="4E42373A"/>
    <w:rsid w:val="4E507D99"/>
    <w:rsid w:val="4E8D2056"/>
    <w:rsid w:val="4EBB286E"/>
    <w:rsid w:val="4EC632AF"/>
    <w:rsid w:val="4ED024B6"/>
    <w:rsid w:val="4ED21F42"/>
    <w:rsid w:val="4EDA5370"/>
    <w:rsid w:val="4EDC5ECC"/>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50051405"/>
    <w:rsid w:val="500832F8"/>
    <w:rsid w:val="501136F0"/>
    <w:rsid w:val="501414DE"/>
    <w:rsid w:val="501F037F"/>
    <w:rsid w:val="502256AD"/>
    <w:rsid w:val="502E5255"/>
    <w:rsid w:val="503A442C"/>
    <w:rsid w:val="504215FA"/>
    <w:rsid w:val="50451DB7"/>
    <w:rsid w:val="504B791D"/>
    <w:rsid w:val="508F60CA"/>
    <w:rsid w:val="50981162"/>
    <w:rsid w:val="509A5820"/>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287425C"/>
    <w:rsid w:val="52887C11"/>
    <w:rsid w:val="53336AAE"/>
    <w:rsid w:val="533A136C"/>
    <w:rsid w:val="53480B19"/>
    <w:rsid w:val="5355264E"/>
    <w:rsid w:val="535F2BBA"/>
    <w:rsid w:val="536254F1"/>
    <w:rsid w:val="537B1523"/>
    <w:rsid w:val="537C67BA"/>
    <w:rsid w:val="53AF337A"/>
    <w:rsid w:val="53B26284"/>
    <w:rsid w:val="53B759F4"/>
    <w:rsid w:val="53D225A4"/>
    <w:rsid w:val="53DF4479"/>
    <w:rsid w:val="53E1421C"/>
    <w:rsid w:val="54157C9B"/>
    <w:rsid w:val="54163A8A"/>
    <w:rsid w:val="54186AD3"/>
    <w:rsid w:val="5419780B"/>
    <w:rsid w:val="54213F74"/>
    <w:rsid w:val="54371F77"/>
    <w:rsid w:val="543B112A"/>
    <w:rsid w:val="54477CC6"/>
    <w:rsid w:val="54547B86"/>
    <w:rsid w:val="545E0121"/>
    <w:rsid w:val="54620B37"/>
    <w:rsid w:val="546A3396"/>
    <w:rsid w:val="54760B52"/>
    <w:rsid w:val="5481317B"/>
    <w:rsid w:val="548B620F"/>
    <w:rsid w:val="54931516"/>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34725E"/>
    <w:rsid w:val="5544415B"/>
    <w:rsid w:val="55487F01"/>
    <w:rsid w:val="555C6E60"/>
    <w:rsid w:val="556B7BE3"/>
    <w:rsid w:val="556E313D"/>
    <w:rsid w:val="556E398A"/>
    <w:rsid w:val="55703362"/>
    <w:rsid w:val="558114B8"/>
    <w:rsid w:val="55910F8E"/>
    <w:rsid w:val="559E2213"/>
    <w:rsid w:val="55AB500F"/>
    <w:rsid w:val="55B256C0"/>
    <w:rsid w:val="55C73811"/>
    <w:rsid w:val="55DF79E5"/>
    <w:rsid w:val="5611384C"/>
    <w:rsid w:val="56165B56"/>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3510EE"/>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2978"/>
    <w:rsid w:val="589C683B"/>
    <w:rsid w:val="58A64F0F"/>
    <w:rsid w:val="58B55746"/>
    <w:rsid w:val="58B9588A"/>
    <w:rsid w:val="58C14572"/>
    <w:rsid w:val="58C44394"/>
    <w:rsid w:val="58C73AD7"/>
    <w:rsid w:val="58CF309C"/>
    <w:rsid w:val="58D25ED8"/>
    <w:rsid w:val="58DA2920"/>
    <w:rsid w:val="58DF24AD"/>
    <w:rsid w:val="58E930A9"/>
    <w:rsid w:val="58F020A3"/>
    <w:rsid w:val="58FB332B"/>
    <w:rsid w:val="590900E6"/>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D14B5"/>
    <w:rsid w:val="59AF47E4"/>
    <w:rsid w:val="59B33075"/>
    <w:rsid w:val="59B63D96"/>
    <w:rsid w:val="59C13ED2"/>
    <w:rsid w:val="59E6253A"/>
    <w:rsid w:val="59E7033F"/>
    <w:rsid w:val="59E860B1"/>
    <w:rsid w:val="59F0027C"/>
    <w:rsid w:val="59FB4D0B"/>
    <w:rsid w:val="5A0354F7"/>
    <w:rsid w:val="5A1E5359"/>
    <w:rsid w:val="5A291824"/>
    <w:rsid w:val="5A2A389D"/>
    <w:rsid w:val="5A344ECC"/>
    <w:rsid w:val="5A390B46"/>
    <w:rsid w:val="5A3B770C"/>
    <w:rsid w:val="5A3D382F"/>
    <w:rsid w:val="5A4532B2"/>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EB20AC"/>
    <w:rsid w:val="5AF8170C"/>
    <w:rsid w:val="5B05555C"/>
    <w:rsid w:val="5B0A4BC8"/>
    <w:rsid w:val="5B1649CC"/>
    <w:rsid w:val="5B1716E1"/>
    <w:rsid w:val="5B244DD8"/>
    <w:rsid w:val="5B2717CA"/>
    <w:rsid w:val="5B295890"/>
    <w:rsid w:val="5B2D7342"/>
    <w:rsid w:val="5B3879B9"/>
    <w:rsid w:val="5B401EC9"/>
    <w:rsid w:val="5B436EF0"/>
    <w:rsid w:val="5B480E92"/>
    <w:rsid w:val="5B4D2B80"/>
    <w:rsid w:val="5B550806"/>
    <w:rsid w:val="5B63588F"/>
    <w:rsid w:val="5B7B185E"/>
    <w:rsid w:val="5B893F6C"/>
    <w:rsid w:val="5B9718EC"/>
    <w:rsid w:val="5B9B45EA"/>
    <w:rsid w:val="5B9F1B41"/>
    <w:rsid w:val="5BA37F28"/>
    <w:rsid w:val="5BAE24A8"/>
    <w:rsid w:val="5BB117B1"/>
    <w:rsid w:val="5BB9244E"/>
    <w:rsid w:val="5BBC287B"/>
    <w:rsid w:val="5BC51BF0"/>
    <w:rsid w:val="5BCF26D8"/>
    <w:rsid w:val="5BE86470"/>
    <w:rsid w:val="5BF5470C"/>
    <w:rsid w:val="5C0B7CEE"/>
    <w:rsid w:val="5C1333BB"/>
    <w:rsid w:val="5C205F58"/>
    <w:rsid w:val="5C44015E"/>
    <w:rsid w:val="5C4D41F0"/>
    <w:rsid w:val="5C554BC5"/>
    <w:rsid w:val="5C636253"/>
    <w:rsid w:val="5C7509E6"/>
    <w:rsid w:val="5C7D3D43"/>
    <w:rsid w:val="5C882C4F"/>
    <w:rsid w:val="5C887DF1"/>
    <w:rsid w:val="5C8962BA"/>
    <w:rsid w:val="5CA70B0A"/>
    <w:rsid w:val="5CBD523A"/>
    <w:rsid w:val="5CCD31A9"/>
    <w:rsid w:val="5CD2475E"/>
    <w:rsid w:val="5CE517B2"/>
    <w:rsid w:val="5CF86CAE"/>
    <w:rsid w:val="5D0B3776"/>
    <w:rsid w:val="5D443020"/>
    <w:rsid w:val="5D47572E"/>
    <w:rsid w:val="5D485FD5"/>
    <w:rsid w:val="5D487E79"/>
    <w:rsid w:val="5D516A2D"/>
    <w:rsid w:val="5D65410C"/>
    <w:rsid w:val="5D7D662C"/>
    <w:rsid w:val="5D842F27"/>
    <w:rsid w:val="5D954FBB"/>
    <w:rsid w:val="5DE847B7"/>
    <w:rsid w:val="5E0779FA"/>
    <w:rsid w:val="5E131AC2"/>
    <w:rsid w:val="5E1D5BB1"/>
    <w:rsid w:val="5E1D5F77"/>
    <w:rsid w:val="5E234035"/>
    <w:rsid w:val="5E355654"/>
    <w:rsid w:val="5E4F7B9F"/>
    <w:rsid w:val="5E632DB0"/>
    <w:rsid w:val="5E6C52B2"/>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4060EA"/>
    <w:rsid w:val="5F414203"/>
    <w:rsid w:val="5F425A26"/>
    <w:rsid w:val="5F4E3CB5"/>
    <w:rsid w:val="5F5E2546"/>
    <w:rsid w:val="5F6D7A6A"/>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EF2D37"/>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923281"/>
    <w:rsid w:val="61A9585F"/>
    <w:rsid w:val="61AB7C65"/>
    <w:rsid w:val="61B20F7D"/>
    <w:rsid w:val="61C3512C"/>
    <w:rsid w:val="61D50E0A"/>
    <w:rsid w:val="61DB7979"/>
    <w:rsid w:val="61E513E8"/>
    <w:rsid w:val="61F96BC2"/>
    <w:rsid w:val="620310E4"/>
    <w:rsid w:val="62073433"/>
    <w:rsid w:val="620B3059"/>
    <w:rsid w:val="620D753C"/>
    <w:rsid w:val="62160B22"/>
    <w:rsid w:val="62162122"/>
    <w:rsid w:val="62181D46"/>
    <w:rsid w:val="624E0D77"/>
    <w:rsid w:val="625374B6"/>
    <w:rsid w:val="62554002"/>
    <w:rsid w:val="626B7791"/>
    <w:rsid w:val="627565C5"/>
    <w:rsid w:val="62796491"/>
    <w:rsid w:val="6287132C"/>
    <w:rsid w:val="628762A4"/>
    <w:rsid w:val="628C2933"/>
    <w:rsid w:val="628C4312"/>
    <w:rsid w:val="62AB1D8D"/>
    <w:rsid w:val="62C42917"/>
    <w:rsid w:val="62D9309F"/>
    <w:rsid w:val="62DE5A92"/>
    <w:rsid w:val="62E73481"/>
    <w:rsid w:val="62ED42C9"/>
    <w:rsid w:val="62FA55D0"/>
    <w:rsid w:val="631A7E52"/>
    <w:rsid w:val="63234C0F"/>
    <w:rsid w:val="63355D34"/>
    <w:rsid w:val="633A5C8B"/>
    <w:rsid w:val="634B4DB7"/>
    <w:rsid w:val="634C01CF"/>
    <w:rsid w:val="635134EB"/>
    <w:rsid w:val="635665B8"/>
    <w:rsid w:val="635B1B3D"/>
    <w:rsid w:val="638C2572"/>
    <w:rsid w:val="63A83A82"/>
    <w:rsid w:val="63BE4ABB"/>
    <w:rsid w:val="63BF6635"/>
    <w:rsid w:val="63CB3622"/>
    <w:rsid w:val="63D600F2"/>
    <w:rsid w:val="63E31E9D"/>
    <w:rsid w:val="63EC3164"/>
    <w:rsid w:val="63FA7ECE"/>
    <w:rsid w:val="640434E5"/>
    <w:rsid w:val="64185C22"/>
    <w:rsid w:val="643B275E"/>
    <w:rsid w:val="64411A38"/>
    <w:rsid w:val="64472050"/>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960A7"/>
    <w:rsid w:val="656A3683"/>
    <w:rsid w:val="656A7144"/>
    <w:rsid w:val="656E05D2"/>
    <w:rsid w:val="65765ABD"/>
    <w:rsid w:val="65787D37"/>
    <w:rsid w:val="657B048C"/>
    <w:rsid w:val="657F70B1"/>
    <w:rsid w:val="65865107"/>
    <w:rsid w:val="659242EE"/>
    <w:rsid w:val="65B0069A"/>
    <w:rsid w:val="65B34F87"/>
    <w:rsid w:val="65B61ED7"/>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59039D"/>
    <w:rsid w:val="676C58B2"/>
    <w:rsid w:val="67805AAD"/>
    <w:rsid w:val="67921D1E"/>
    <w:rsid w:val="67925682"/>
    <w:rsid w:val="679A2E90"/>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17038"/>
    <w:rsid w:val="68721156"/>
    <w:rsid w:val="687C423F"/>
    <w:rsid w:val="688801D9"/>
    <w:rsid w:val="68A6107A"/>
    <w:rsid w:val="68BB024A"/>
    <w:rsid w:val="68BE2656"/>
    <w:rsid w:val="68C25D28"/>
    <w:rsid w:val="68C56A94"/>
    <w:rsid w:val="68C76E3B"/>
    <w:rsid w:val="68D033F3"/>
    <w:rsid w:val="68D50A2F"/>
    <w:rsid w:val="68DC689F"/>
    <w:rsid w:val="68E0170A"/>
    <w:rsid w:val="690C4305"/>
    <w:rsid w:val="69141C2E"/>
    <w:rsid w:val="69184264"/>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AEA1BB6"/>
    <w:rsid w:val="6B0F3C1E"/>
    <w:rsid w:val="6B13077A"/>
    <w:rsid w:val="6B1424DD"/>
    <w:rsid w:val="6B221E5F"/>
    <w:rsid w:val="6B272595"/>
    <w:rsid w:val="6B2B1CE6"/>
    <w:rsid w:val="6B2F5E6F"/>
    <w:rsid w:val="6B427AC6"/>
    <w:rsid w:val="6B453112"/>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A7603"/>
    <w:rsid w:val="6C4E1244"/>
    <w:rsid w:val="6C5B6EEC"/>
    <w:rsid w:val="6C5D2D2B"/>
    <w:rsid w:val="6C6D2BBE"/>
    <w:rsid w:val="6C6E3EA2"/>
    <w:rsid w:val="6C7765FE"/>
    <w:rsid w:val="6C8008DC"/>
    <w:rsid w:val="6C8B2045"/>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F129A"/>
    <w:rsid w:val="6E81328B"/>
    <w:rsid w:val="6E8C7E9A"/>
    <w:rsid w:val="6E9E277B"/>
    <w:rsid w:val="6EA7226C"/>
    <w:rsid w:val="6EB13143"/>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4D6A39"/>
    <w:rsid w:val="6F6A055F"/>
    <w:rsid w:val="6F6A09C1"/>
    <w:rsid w:val="6F733EF8"/>
    <w:rsid w:val="6F7478CD"/>
    <w:rsid w:val="6F8310B0"/>
    <w:rsid w:val="6FAD74D8"/>
    <w:rsid w:val="6FAF4A0F"/>
    <w:rsid w:val="6FB917DB"/>
    <w:rsid w:val="6FC80B1A"/>
    <w:rsid w:val="6FD412E1"/>
    <w:rsid w:val="6FE8060A"/>
    <w:rsid w:val="6FEA1D9F"/>
    <w:rsid w:val="6FEE7DF4"/>
    <w:rsid w:val="6FF43A17"/>
    <w:rsid w:val="6FF473BA"/>
    <w:rsid w:val="6FFC588A"/>
    <w:rsid w:val="700B4601"/>
    <w:rsid w:val="70233526"/>
    <w:rsid w:val="70306C17"/>
    <w:rsid w:val="7032775A"/>
    <w:rsid w:val="70600259"/>
    <w:rsid w:val="70754C0A"/>
    <w:rsid w:val="70810F20"/>
    <w:rsid w:val="70861530"/>
    <w:rsid w:val="708C0C16"/>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4EE4"/>
    <w:rsid w:val="71806D32"/>
    <w:rsid w:val="71AD6FAE"/>
    <w:rsid w:val="71AE30B5"/>
    <w:rsid w:val="71C27EC8"/>
    <w:rsid w:val="71C33DD0"/>
    <w:rsid w:val="71C47A3E"/>
    <w:rsid w:val="71E66B42"/>
    <w:rsid w:val="71FE1EF5"/>
    <w:rsid w:val="71FE6B1E"/>
    <w:rsid w:val="71FF70A9"/>
    <w:rsid w:val="72000CFC"/>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8E35F1"/>
    <w:rsid w:val="72954897"/>
    <w:rsid w:val="72A11E23"/>
    <w:rsid w:val="72A322A5"/>
    <w:rsid w:val="72AF0917"/>
    <w:rsid w:val="72AF53EF"/>
    <w:rsid w:val="72B3210B"/>
    <w:rsid w:val="72CF7ADB"/>
    <w:rsid w:val="72E75951"/>
    <w:rsid w:val="72E91B02"/>
    <w:rsid w:val="72F805FE"/>
    <w:rsid w:val="72F9284C"/>
    <w:rsid w:val="72FA3F3D"/>
    <w:rsid w:val="72FF3233"/>
    <w:rsid w:val="731678B0"/>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42371E"/>
    <w:rsid w:val="745B1A80"/>
    <w:rsid w:val="74622F2F"/>
    <w:rsid w:val="7468424A"/>
    <w:rsid w:val="7497088D"/>
    <w:rsid w:val="74A30572"/>
    <w:rsid w:val="74AA7244"/>
    <w:rsid w:val="74C02B03"/>
    <w:rsid w:val="74C6304D"/>
    <w:rsid w:val="74C6592A"/>
    <w:rsid w:val="74C73FE3"/>
    <w:rsid w:val="74D752B2"/>
    <w:rsid w:val="74DC5A55"/>
    <w:rsid w:val="74E71A82"/>
    <w:rsid w:val="74F31C3B"/>
    <w:rsid w:val="74F64E3F"/>
    <w:rsid w:val="74FD1B30"/>
    <w:rsid w:val="75127587"/>
    <w:rsid w:val="751D0E17"/>
    <w:rsid w:val="752C6162"/>
    <w:rsid w:val="754A05DC"/>
    <w:rsid w:val="754D0AC8"/>
    <w:rsid w:val="755A7CE3"/>
    <w:rsid w:val="756358A8"/>
    <w:rsid w:val="756F4DCA"/>
    <w:rsid w:val="75942A40"/>
    <w:rsid w:val="759D5D7C"/>
    <w:rsid w:val="75A023F2"/>
    <w:rsid w:val="75C5780F"/>
    <w:rsid w:val="75DE1FA4"/>
    <w:rsid w:val="75FB2A56"/>
    <w:rsid w:val="75FF18EA"/>
    <w:rsid w:val="76023351"/>
    <w:rsid w:val="760A7432"/>
    <w:rsid w:val="761730DD"/>
    <w:rsid w:val="762514F1"/>
    <w:rsid w:val="762C5C47"/>
    <w:rsid w:val="765512FB"/>
    <w:rsid w:val="766477E6"/>
    <w:rsid w:val="76687032"/>
    <w:rsid w:val="7672045B"/>
    <w:rsid w:val="76764198"/>
    <w:rsid w:val="76766B2A"/>
    <w:rsid w:val="767F2D37"/>
    <w:rsid w:val="76895AED"/>
    <w:rsid w:val="7698131F"/>
    <w:rsid w:val="76984EB1"/>
    <w:rsid w:val="76991A17"/>
    <w:rsid w:val="76BA50E5"/>
    <w:rsid w:val="76D114B9"/>
    <w:rsid w:val="76D42781"/>
    <w:rsid w:val="76D81D5A"/>
    <w:rsid w:val="76FF6865"/>
    <w:rsid w:val="77067FBD"/>
    <w:rsid w:val="77236D53"/>
    <w:rsid w:val="772A5AB9"/>
    <w:rsid w:val="772B4368"/>
    <w:rsid w:val="774D3DC3"/>
    <w:rsid w:val="774F5DDF"/>
    <w:rsid w:val="776D6580"/>
    <w:rsid w:val="778C04E9"/>
    <w:rsid w:val="778D0EB5"/>
    <w:rsid w:val="778F2765"/>
    <w:rsid w:val="77A14BA4"/>
    <w:rsid w:val="77A967D7"/>
    <w:rsid w:val="77B360B7"/>
    <w:rsid w:val="77DD6D0D"/>
    <w:rsid w:val="77E22291"/>
    <w:rsid w:val="78037E72"/>
    <w:rsid w:val="78044227"/>
    <w:rsid w:val="78081284"/>
    <w:rsid w:val="780820AC"/>
    <w:rsid w:val="78125407"/>
    <w:rsid w:val="78163E0D"/>
    <w:rsid w:val="7816691F"/>
    <w:rsid w:val="78300AEE"/>
    <w:rsid w:val="783D7A04"/>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3450DD"/>
    <w:rsid w:val="794674FF"/>
    <w:rsid w:val="794F5E9D"/>
    <w:rsid w:val="7950305C"/>
    <w:rsid w:val="79596ED9"/>
    <w:rsid w:val="796606AB"/>
    <w:rsid w:val="797279F9"/>
    <w:rsid w:val="797B05F4"/>
    <w:rsid w:val="798B6440"/>
    <w:rsid w:val="7993250E"/>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4F648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4EEF"/>
    <w:rsid w:val="7BAA325D"/>
    <w:rsid w:val="7BAB65F0"/>
    <w:rsid w:val="7BC5601A"/>
    <w:rsid w:val="7BD0462C"/>
    <w:rsid w:val="7BDB36C8"/>
    <w:rsid w:val="7BE067C0"/>
    <w:rsid w:val="7BF434DE"/>
    <w:rsid w:val="7C041716"/>
    <w:rsid w:val="7C0D7EE2"/>
    <w:rsid w:val="7C0F6F8D"/>
    <w:rsid w:val="7C1832E2"/>
    <w:rsid w:val="7C2C3168"/>
    <w:rsid w:val="7C60764A"/>
    <w:rsid w:val="7C661BC3"/>
    <w:rsid w:val="7C7F077B"/>
    <w:rsid w:val="7C945C5D"/>
    <w:rsid w:val="7CB570A3"/>
    <w:rsid w:val="7CC85D2E"/>
    <w:rsid w:val="7CFA0A3C"/>
    <w:rsid w:val="7CFB25C5"/>
    <w:rsid w:val="7D024938"/>
    <w:rsid w:val="7D0432EA"/>
    <w:rsid w:val="7D071A67"/>
    <w:rsid w:val="7D08106A"/>
    <w:rsid w:val="7D153027"/>
    <w:rsid w:val="7D240558"/>
    <w:rsid w:val="7D265B72"/>
    <w:rsid w:val="7D4E4391"/>
    <w:rsid w:val="7D506BD1"/>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2D277B"/>
    <w:rsid w:val="7E2F58AE"/>
    <w:rsid w:val="7E3F3721"/>
    <w:rsid w:val="7E464EB2"/>
    <w:rsid w:val="7E5724CE"/>
    <w:rsid w:val="7E5B4BE3"/>
    <w:rsid w:val="7E6B448B"/>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4B5891"/>
    <w:rsid w:val="7F4C3B9B"/>
    <w:rsid w:val="7F680EF6"/>
    <w:rsid w:val="7F6C1A45"/>
    <w:rsid w:val="7F81479C"/>
    <w:rsid w:val="7F91418B"/>
    <w:rsid w:val="7F9511E2"/>
    <w:rsid w:val="7F961536"/>
    <w:rsid w:val="7FAB72FA"/>
    <w:rsid w:val="7FB772DD"/>
    <w:rsid w:val="7FD5728C"/>
    <w:rsid w:val="7FE66A22"/>
    <w:rsid w:val="7FED0787"/>
    <w:rsid w:val="7FF3410F"/>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0"/>
    <w:autoRedefine/>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paragraph" w:styleId="6">
    <w:name w:val="heading 5"/>
    <w:basedOn w:val="1"/>
    <w:next w:val="1"/>
    <w:autoRedefine/>
    <w:qFormat/>
    <w:uiPriority w:val="0"/>
    <w:pPr>
      <w:keepNext/>
      <w:keepLines/>
      <w:spacing w:before="280" w:after="290" w:line="376" w:lineRule="auto"/>
      <w:outlineLvl w:val="4"/>
    </w:pPr>
    <w:rPr>
      <w:rFonts w:ascii="华文细黑" w:hAnsi="华文细黑" w:eastAsia="楷体_GB2312" w:cs="华文细黑"/>
      <w:b/>
      <w:bCs/>
      <w:sz w:val="28"/>
      <w:szCs w:val="28"/>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link w:val="45"/>
    <w:autoRedefine/>
    <w:qFormat/>
    <w:uiPriority w:val="99"/>
    <w:pPr>
      <w:spacing w:after="120"/>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beforeLines="50"/>
    </w:pPr>
    <w:rPr>
      <w:rFonts w:ascii="宋体" w:hAnsi="宋体"/>
      <w:szCs w:val="20"/>
    </w:rPr>
  </w:style>
  <w:style w:type="paragraph" w:styleId="10">
    <w:name w:val="Body Text Indent"/>
    <w:basedOn w:val="1"/>
    <w:next w:val="11"/>
    <w:autoRedefine/>
    <w:qFormat/>
    <w:uiPriority w:val="0"/>
    <w:pPr>
      <w:spacing w:after="120"/>
      <w:ind w:left="420" w:leftChars="200"/>
    </w:pPr>
  </w:style>
  <w:style w:type="paragraph" w:styleId="11">
    <w:name w:val="envelope return"/>
    <w:basedOn w:val="1"/>
    <w:autoRedefine/>
    <w:unhideWhenUsed/>
    <w:qFormat/>
    <w:uiPriority w:val="99"/>
    <w:pPr>
      <w:snapToGrid w:val="0"/>
      <w:ind w:firstLine="200"/>
    </w:pPr>
    <w:rPr>
      <w:rFonts w:ascii="Arial" w:hAnsi="Arial" w:cs="Arial"/>
      <w:szCs w:val="20"/>
    </w:rPr>
  </w:style>
  <w:style w:type="paragraph" w:styleId="12">
    <w:name w:val="Plain Text"/>
    <w:basedOn w:val="1"/>
    <w:autoRedefine/>
    <w:qFormat/>
    <w:uiPriority w:val="0"/>
    <w:rPr>
      <w:rFonts w:ascii="宋体" w:hAnsi="Courier New"/>
      <w:szCs w:val="20"/>
    </w:rPr>
  </w:style>
  <w:style w:type="paragraph" w:styleId="13">
    <w:name w:val="footer"/>
    <w:basedOn w:val="1"/>
    <w:link w:val="46"/>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autoRedefine/>
    <w:qFormat/>
    <w:uiPriority w:val="39"/>
    <w:pPr>
      <w:spacing w:before="120" w:after="120"/>
      <w:jc w:val="left"/>
    </w:pPr>
    <w:rPr>
      <w:rFonts w:cs="Calibri"/>
      <w:b/>
      <w:bCs/>
      <w:caps/>
      <w:sz w:val="20"/>
      <w:szCs w:val="20"/>
    </w:rPr>
  </w:style>
  <w:style w:type="paragraph" w:styleId="16">
    <w:name w:val="footnote text"/>
    <w:basedOn w:val="1"/>
    <w:autoRedefine/>
    <w:unhideWhenUsed/>
    <w:qFormat/>
    <w:uiPriority w:val="0"/>
    <w:pPr>
      <w:snapToGrid w:val="0"/>
      <w:jc w:val="left"/>
    </w:pPr>
    <w:rPr>
      <w:sz w:val="18"/>
      <w:szCs w:val="18"/>
    </w:rPr>
  </w:style>
  <w:style w:type="paragraph" w:styleId="17">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autoRedefine/>
    <w:semiHidden/>
    <w:qFormat/>
    <w:uiPriority w:val="0"/>
    <w:pPr>
      <w:spacing w:line="220" w:lineRule="exact"/>
      <w:jc w:val="center"/>
    </w:pPr>
    <w:rPr>
      <w:rFonts w:ascii="仿宋_GB2312" w:eastAsia="仿宋_GB2312"/>
      <w:szCs w:val="21"/>
    </w:rPr>
  </w:style>
  <w:style w:type="paragraph" w:styleId="19">
    <w:name w:val="Body Text First Indent 2"/>
    <w:basedOn w:val="10"/>
    <w:autoRedefine/>
    <w:qFormat/>
    <w:uiPriority w:val="0"/>
    <w:pPr>
      <w:ind w:firstLine="420" w:firstLineChars="200"/>
    </w:pPr>
    <w:rPr>
      <w:rFonts w:ascii="Calibri" w:hAnsi="Calibri"/>
      <w:szCs w:val="2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autoRedefine/>
    <w:qFormat/>
    <w:uiPriority w:val="0"/>
    <w:rPr>
      <w:sz w:val="21"/>
      <w:szCs w:val="21"/>
    </w:rPr>
  </w:style>
  <w:style w:type="character" w:styleId="25">
    <w:name w:val="footnote reference"/>
    <w:autoRedefine/>
    <w:qFormat/>
    <w:uiPriority w:val="0"/>
    <w:rPr>
      <w:vertAlign w:val="superscript"/>
    </w:rPr>
  </w:style>
  <w:style w:type="paragraph" w:customStyle="1" w:styleId="26">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autoRedefine/>
    <w:qFormat/>
    <w:uiPriority w:val="0"/>
    <w:pPr>
      <w:textAlignment w:val="center"/>
    </w:pPr>
    <w:rPr>
      <w:rFonts w:ascii="华文细黑" w:hAnsi="华文细黑"/>
      <w:kern w:val="0"/>
      <w:szCs w:val="20"/>
    </w:rPr>
  </w:style>
  <w:style w:type="paragraph" w:customStyle="1" w:styleId="28">
    <w:name w:val="正文 题目"/>
    <w:basedOn w:val="1"/>
    <w:autoRedefine/>
    <w:qFormat/>
    <w:uiPriority w:val="0"/>
    <w:pPr>
      <w:jc w:val="center"/>
    </w:pPr>
    <w:rPr>
      <w:rFonts w:ascii="黑体" w:hAnsi="黑体" w:eastAsia="黑体"/>
      <w:sz w:val="28"/>
    </w:rPr>
  </w:style>
  <w:style w:type="paragraph" w:customStyle="1" w:styleId="29">
    <w:name w:val="列出段落1"/>
    <w:basedOn w:val="1"/>
    <w:autoRedefine/>
    <w:qFormat/>
    <w:uiPriority w:val="99"/>
    <w:rPr>
      <w:rFonts w:ascii="Times New Roman" w:hAnsi="Times New Roman"/>
    </w:rPr>
  </w:style>
  <w:style w:type="character" w:customStyle="1" w:styleId="30">
    <w:name w:val="标题 2 字符"/>
    <w:link w:val="4"/>
    <w:autoRedefine/>
    <w:qFormat/>
    <w:uiPriority w:val="0"/>
    <w:rPr>
      <w:rFonts w:ascii="Arial" w:hAnsi="Arial"/>
      <w:b/>
      <w:bCs/>
      <w:sz w:val="28"/>
      <w:szCs w:val="32"/>
    </w:rPr>
  </w:style>
  <w:style w:type="paragraph" w:customStyle="1" w:styleId="3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2"/>
    <w:autoRedefine/>
    <w:qFormat/>
    <w:uiPriority w:val="0"/>
    <w:rPr>
      <w:rFonts w:hint="eastAsia" w:ascii="宋体" w:hAnsi="宋体" w:eastAsia="宋体" w:cs="宋体"/>
      <w:color w:val="000000"/>
      <w:sz w:val="24"/>
      <w:szCs w:val="24"/>
      <w:u w:val="none"/>
    </w:rPr>
  </w:style>
  <w:style w:type="character" w:customStyle="1" w:styleId="35">
    <w:name w:val="font01"/>
    <w:basedOn w:val="22"/>
    <w:autoRedefine/>
    <w:qFormat/>
    <w:uiPriority w:val="0"/>
    <w:rPr>
      <w:rFonts w:hint="default" w:ascii="Times New Roman" w:hAnsi="Times New Roman" w:cs="Times New Roman"/>
      <w:color w:val="000000"/>
      <w:sz w:val="24"/>
      <w:szCs w:val="24"/>
      <w:u w:val="none"/>
    </w:rPr>
  </w:style>
  <w:style w:type="character" w:customStyle="1" w:styleId="36">
    <w:name w:val="font11"/>
    <w:basedOn w:val="22"/>
    <w:autoRedefine/>
    <w:qFormat/>
    <w:uiPriority w:val="0"/>
    <w:rPr>
      <w:rFonts w:hint="default" w:ascii="Times New Roman" w:hAnsi="Times New Roman" w:cs="Times New Roman"/>
      <w:color w:val="000000"/>
      <w:sz w:val="20"/>
      <w:szCs w:val="20"/>
      <w:u w:val="none"/>
    </w:rPr>
  </w:style>
  <w:style w:type="character" w:customStyle="1" w:styleId="37">
    <w:name w:val="font31"/>
    <w:basedOn w:val="22"/>
    <w:autoRedefine/>
    <w:qFormat/>
    <w:uiPriority w:val="0"/>
    <w:rPr>
      <w:rFonts w:hint="eastAsia" w:ascii="宋体" w:hAnsi="宋体" w:eastAsia="宋体" w:cs="宋体"/>
      <w:color w:val="000000"/>
      <w:sz w:val="20"/>
      <w:szCs w:val="20"/>
      <w:u w:val="none"/>
    </w:rPr>
  </w:style>
  <w:style w:type="paragraph" w:customStyle="1" w:styleId="38">
    <w:name w:val="附件标题"/>
    <w:basedOn w:val="4"/>
    <w:next w:val="1"/>
    <w:autoRedefine/>
    <w:qFormat/>
    <w:uiPriority w:val="0"/>
    <w:pPr>
      <w:numPr>
        <w:numId w:val="3"/>
      </w:numPr>
      <w:tabs>
        <w:tab w:val="left" w:pos="1134"/>
      </w:tabs>
      <w:ind w:firstLine="0"/>
      <w:jc w:val="center"/>
    </w:pPr>
    <w:rPr>
      <w:rFonts w:ascii="黑体" w:hAnsi="黑体"/>
      <w:sz w:val="30"/>
      <w:szCs w:val="30"/>
    </w:rPr>
  </w:style>
  <w:style w:type="paragraph" w:customStyle="1" w:styleId="39">
    <w:name w:val="普通 (Web)"/>
    <w:basedOn w:val="1"/>
    <w:autoRedefine/>
    <w:qFormat/>
    <w:uiPriority w:val="0"/>
    <w:pPr>
      <w:widowControl/>
      <w:spacing w:before="100" w:beforeAutospacing="1" w:after="100" w:afterAutospacing="1"/>
      <w:jc w:val="left"/>
    </w:pPr>
    <w:rPr>
      <w:rFonts w:ascii="Arial Unicode MS" w:hAnsi="Arial Unicode MS" w:eastAsia="Arial Unicode MS" w:cs="宋体"/>
      <w:kern w:val="0"/>
      <w:sz w:val="24"/>
    </w:rPr>
  </w:style>
  <w:style w:type="paragraph" w:customStyle="1" w:styleId="40">
    <w:name w:val="纯文本5"/>
    <w:basedOn w:val="1"/>
    <w:autoRedefine/>
    <w:qFormat/>
    <w:uiPriority w:val="0"/>
    <w:rPr>
      <w:b/>
      <w:bCs/>
      <w:sz w:val="32"/>
      <w:szCs w:val="32"/>
    </w:rPr>
  </w:style>
  <w:style w:type="paragraph" w:customStyle="1" w:styleId="41">
    <w:name w:val="ÕýÎÄ_0"/>
    <w:basedOn w:val="42"/>
    <w:next w:val="43"/>
    <w:autoRedefine/>
    <w:qFormat/>
    <w:uiPriority w:val="0"/>
    <w:rPr>
      <w:szCs w:val="21"/>
    </w:rPr>
  </w:style>
  <w:style w:type="paragraph" w:customStyle="1" w:styleId="42">
    <w:name w:val="[Normal]"/>
    <w:autoRedefine/>
    <w:qFormat/>
    <w:uiPriority w:val="0"/>
    <w:pPr>
      <w:widowControl w:val="0"/>
    </w:pPr>
    <w:rPr>
      <w:rFonts w:ascii="宋体" w:hAnsi="宋体" w:eastAsia="宋体" w:cs="Times New Roman"/>
      <w:sz w:val="24"/>
      <w:szCs w:val="24"/>
      <w:lang w:val="en-US" w:eastAsia="zh-CN" w:bidi="ar-SA"/>
    </w:rPr>
  </w:style>
  <w:style w:type="paragraph" w:customStyle="1" w:styleId="43">
    <w:name w:val="正文1"/>
    <w:basedOn w:val="42"/>
    <w:autoRedefine/>
    <w:qFormat/>
    <w:uiPriority w:v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pPr>
    <w:rPr>
      <w:sz w:val="21"/>
      <w:szCs w:val="21"/>
    </w:rPr>
  </w:style>
  <w:style w:type="paragraph" w:customStyle="1" w:styleId="44">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5">
    <w:name w:val="正文文本 字符"/>
    <w:basedOn w:val="22"/>
    <w:link w:val="2"/>
    <w:autoRedefine/>
    <w:qFormat/>
    <w:uiPriority w:val="99"/>
    <w:rPr>
      <w:rFonts w:asciiTheme="minorHAnsi" w:hAnsiTheme="minorHAnsi" w:eastAsiaTheme="minorEastAsia" w:cstheme="minorBidi"/>
      <w:kern w:val="2"/>
      <w:sz w:val="21"/>
      <w:szCs w:val="24"/>
    </w:rPr>
  </w:style>
  <w:style w:type="character" w:customStyle="1" w:styleId="46">
    <w:name w:val="页脚 字符"/>
    <w:basedOn w:val="22"/>
    <w:link w:val="13"/>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15e0cdf-3e94-4683-b636-0ac6e6f1c46e}"/>
        <w:style w:val=""/>
        <w:category>
          <w:name w:val="常规"/>
          <w:gallery w:val="placeholder"/>
        </w:category>
        <w:types>
          <w:type w:val="bbPlcHdr"/>
        </w:types>
        <w:behaviors>
          <w:behavior w:val="content"/>
        </w:behaviors>
        <w:description w:val=""/>
        <w:guid w:val="{715E0CDF-3E94-4683-B636-0AC6E6F1C46E}"/>
      </w:docPartPr>
      <w:docPartBody>
        <w:p>
          <w:r>
            <w:rPr>
              <w:color w:val="808080"/>
            </w:rPr>
            <w:t>单击此处输入文字。</w:t>
          </w:r>
        </w:p>
      </w:docPartBody>
    </w:docPart>
    <w:docPart>
      <w:docPartPr>
        <w:name w:val="{eb3d925e-8eb2-47e7-913c-13c271f832c7}"/>
        <w:style w:val=""/>
        <w:category>
          <w:name w:val="常规"/>
          <w:gallery w:val="placeholder"/>
        </w:category>
        <w:types>
          <w:type w:val="bbPlcHdr"/>
        </w:types>
        <w:behaviors>
          <w:behavior w:val="content"/>
        </w:behaviors>
        <w:description w:val=""/>
        <w:guid w:val="{EB3D925E-8EB2-47E7-913C-13C271F832C7}"/>
      </w:docPartPr>
      <w:docPartBody>
        <w:p>
          <w:r>
            <w:rPr>
              <w:color w:val="808080"/>
            </w:rPr>
            <w:t>单击此处输入文字。</w:t>
          </w:r>
        </w:p>
      </w:docPartBody>
    </w:docPart>
    <w:docPart>
      <w:docPartPr>
        <w:name w:val="{91b380df-5f78-4bfe-858c-87a9f4c38a26}"/>
        <w:style w:val=""/>
        <w:category>
          <w:name w:val="常规"/>
          <w:gallery w:val="placeholder"/>
        </w:category>
        <w:types>
          <w:type w:val="bbPlcHdr"/>
        </w:types>
        <w:behaviors>
          <w:behavior w:val="content"/>
        </w:behaviors>
        <w:description w:val=""/>
        <w:guid w:val="{91B380DF-5F78-4BFE-858C-87A9F4C38A26}"/>
      </w:docPartPr>
      <w:docPartBody>
        <w:p>
          <w:r>
            <w:rPr>
              <w:color w:val="808080"/>
            </w:rPr>
            <w:t>单击此处输入文字。</w:t>
          </w:r>
        </w:p>
      </w:docPartBody>
    </w:docPart>
    <w:docPart>
      <w:docPartPr>
        <w:name w:val="{ce844999-5387-4b1e-a46c-be14a2c268ab}"/>
        <w:style w:val=""/>
        <w:category>
          <w:name w:val="常规"/>
          <w:gallery w:val="placeholder"/>
        </w:category>
        <w:types>
          <w:type w:val="bbPlcHdr"/>
        </w:types>
        <w:behaviors>
          <w:behavior w:val="content"/>
        </w:behaviors>
        <w:description w:val=""/>
        <w:guid w:val="{CE844999-5387-4B1E-A46C-BE14A2C268AB}"/>
      </w:docPartPr>
      <w:docPartBody>
        <w:p>
          <w:r>
            <w:rPr>
              <w:color w:val="808080"/>
            </w:rPr>
            <w:t>单击此处输入文字。</w:t>
          </w:r>
        </w:p>
      </w:docPartBody>
    </w:docPart>
    <w:docPart>
      <w:docPartPr>
        <w:name w:val="{20f79038-a84f-4367-b378-eb5f31e26f52}"/>
        <w:style w:val=""/>
        <w:category>
          <w:name w:val="常规"/>
          <w:gallery w:val="placeholder"/>
        </w:category>
        <w:types>
          <w:type w:val="bbPlcHdr"/>
        </w:types>
        <w:behaviors>
          <w:behavior w:val="content"/>
        </w:behaviors>
        <w:description w:val=""/>
        <w:guid w:val="{20F79038-A84F-4367-B378-EB5F31E26F52}"/>
      </w:docPartPr>
      <w:docPartBody>
        <w:p>
          <w:r>
            <w:rPr>
              <w:color w:val="808080"/>
            </w:rPr>
            <w:t>单击此处输入文字。</w:t>
          </w:r>
        </w:p>
      </w:docPartBody>
    </w:docPart>
    <w:docPart>
      <w:docPartPr>
        <w:name w:val="{c304ff6a-9be4-479b-b9c3-181ab0d9134e}"/>
        <w:style w:val=""/>
        <w:category>
          <w:name w:val="常规"/>
          <w:gallery w:val="placeholder"/>
        </w:category>
        <w:types>
          <w:type w:val="bbPlcHdr"/>
        </w:types>
        <w:behaviors>
          <w:behavior w:val="content"/>
        </w:behaviors>
        <w:description w:val=""/>
        <w:guid w:val="{C304FF6A-9BE4-479B-B9C3-181AB0D9134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4"/>
    <w:rsid w:val="0005430D"/>
    <w:rsid w:val="001F411E"/>
    <w:rsid w:val="00241275"/>
    <w:rsid w:val="00270D90"/>
    <w:rsid w:val="0039357F"/>
    <w:rsid w:val="00503CCE"/>
    <w:rsid w:val="006778A9"/>
    <w:rsid w:val="008A56EB"/>
    <w:rsid w:val="008F68B2"/>
    <w:rsid w:val="0091250C"/>
    <w:rsid w:val="00952B2A"/>
    <w:rsid w:val="00A26EC4"/>
    <w:rsid w:val="00A45B43"/>
    <w:rsid w:val="00B155A6"/>
    <w:rsid w:val="00B2422B"/>
    <w:rsid w:val="00B510AD"/>
    <w:rsid w:val="00CF3951"/>
    <w:rsid w:val="00D63992"/>
    <w:rsid w:val="00FC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5246</Words>
  <Characters>29907</Characters>
  <Lines>249</Lines>
  <Paragraphs>70</Paragraphs>
  <TotalTime>18</TotalTime>
  <ScaleCrop>false</ScaleCrop>
  <LinksUpToDate>false</LinksUpToDate>
  <CharactersWithSpaces>35083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2024-03-21T13:27:00Z</dcterms:created>
  <dc:creator>huajie</dc:creator>
  <cp:lastModifiedBy>张亚</cp:lastModifiedBy>
  <dcterms:modified xsi:type="dcterms:W3CDTF">2024-03-25T08:31:34Z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9110CF132E7741ECA3AF2DB73124F7CA_13</vt:lpwstr>
  </property>
</Properties>
</file>