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宋体" w:cs="Times New Roman"/>
          <w:sz w:val="32"/>
          <w:szCs w:val="32"/>
          <w:highlight w:val="none"/>
          <w:lang w:eastAsia="zh-CN"/>
        </w:rPr>
      </w:pPr>
      <w:r>
        <w:rPr>
          <w:rFonts w:hint="eastAsia" w:ascii="Times New Roman" w:hAnsi="Times New Roman" w:cs="Times New Roman"/>
          <w:b/>
          <w:bCs/>
          <w:kern w:val="0"/>
          <w:sz w:val="44"/>
          <w:szCs w:val="44"/>
          <w:highlight w:val="none"/>
          <w:lang w:eastAsia="zh-CN"/>
        </w:rPr>
        <w:t>深圳安联尚璟府项目智慧泵房研究及应用服务</w:t>
      </w:r>
    </w:p>
    <w:p>
      <w:pPr>
        <w:spacing w:line="540" w:lineRule="exact"/>
        <w:ind w:firstLine="420"/>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jc w:val="center"/>
        <w:rPr>
          <w:rFonts w:ascii="Times New Roman" w:hAnsi="Times New Roman" w:eastAsia="黑体" w:cs="Times New Roman"/>
          <w:sz w:val="72"/>
          <w:szCs w:val="72"/>
          <w:highlight w:val="none"/>
        </w:rPr>
      </w:pPr>
      <w:r>
        <w:rPr>
          <w:rFonts w:ascii="Times New Roman" w:hAnsi="Times New Roman" w:eastAsia="黑体" w:cs="Times New Roman"/>
          <w:sz w:val="72"/>
          <w:szCs w:val="72"/>
          <w:highlight w:val="none"/>
        </w:rPr>
        <w:t>询  比  文  件</w:t>
      </w: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640"/>
        <w:rPr>
          <w:rFonts w:ascii="Times New Roman" w:hAnsi="Times New Roman" w:eastAsia="黑体" w:cs="Times New Roman"/>
          <w:sz w:val="32"/>
          <w:szCs w:val="32"/>
          <w:highlight w:val="none"/>
        </w:rPr>
      </w:pPr>
    </w:p>
    <w:p>
      <w:pPr>
        <w:spacing w:line="540" w:lineRule="exact"/>
        <w:ind w:left="1896" w:leftChars="903"/>
        <w:rPr>
          <w:rFonts w:ascii="Times New Roman" w:hAnsi="Times New Roman" w:cs="Times New Roman"/>
          <w:szCs w:val="21"/>
          <w:highlight w:val="none"/>
        </w:rPr>
      </w:pPr>
    </w:p>
    <w:p>
      <w:pPr>
        <w:pStyle w:val="2"/>
        <w:rPr>
          <w:highlight w:val="none"/>
        </w:rPr>
      </w:pPr>
    </w:p>
    <w:p>
      <w:pPr>
        <w:snapToGrid w:val="0"/>
        <w:ind w:left="1896" w:leftChars="903"/>
        <w:rPr>
          <w:rFonts w:ascii="Times New Roman" w:hAnsi="Times New Roman" w:cs="Times New Roman"/>
          <w:sz w:val="32"/>
          <w:szCs w:val="32"/>
          <w:highlight w:val="none"/>
        </w:rPr>
      </w:pPr>
      <w:r>
        <w:rPr>
          <w:rFonts w:ascii="Times New Roman" w:hAnsi="Times New Roman" w:eastAsia="黑体" w:cs="Times New Roman"/>
          <w:sz w:val="32"/>
          <w:szCs w:val="32"/>
          <w:highlight w:val="none"/>
        </w:rPr>
        <w:t>采 购 人：</w:t>
      </w:r>
      <w:r>
        <w:rPr>
          <w:rFonts w:hint="eastAsia" w:ascii="Times New Roman" w:hAnsi="Times New Roman" w:eastAsia="黑体" w:cs="Times New Roman"/>
          <w:sz w:val="32"/>
          <w:szCs w:val="32"/>
          <w:highlight w:val="none"/>
          <w:u w:val="single"/>
          <w:lang w:eastAsia="zh-CN"/>
        </w:rPr>
        <w:t>深圳市安之联置业有限公司</w:t>
      </w:r>
      <w:r>
        <w:rPr>
          <w:rFonts w:hint="eastAsia" w:ascii="Times New Roman" w:hAnsi="Times New Roman" w:eastAsia="黑体" w:cs="Times New Roman"/>
          <w:sz w:val="32"/>
          <w:szCs w:val="32"/>
          <w:highlight w:val="none"/>
          <w:u w:val="single"/>
        </w:rPr>
        <w:t xml:space="preserve"> </w:t>
      </w:r>
      <w:r>
        <w:rPr>
          <w:rFonts w:ascii="Times New Roman" w:hAnsi="Times New Roman" w:cs="Times New Roman"/>
          <w:sz w:val="32"/>
          <w:szCs w:val="32"/>
          <w:highlight w:val="none"/>
        </w:rPr>
        <w:t xml:space="preserve"> </w:t>
      </w:r>
    </w:p>
    <w:p>
      <w:pPr>
        <w:snapToGrid w:val="0"/>
        <w:ind w:left="1896" w:leftChars="903"/>
        <w:rPr>
          <w:rFonts w:ascii="Times New Roman" w:hAnsi="Times New Roman" w:eastAsia="黑体" w:cs="Times New Roman"/>
          <w:sz w:val="32"/>
          <w:szCs w:val="32"/>
          <w:highlight w:val="none"/>
        </w:rPr>
      </w:pPr>
    </w:p>
    <w:p>
      <w:pPr>
        <w:snapToGrid w:val="0"/>
        <w:ind w:left="1896" w:leftChars="903"/>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    期</w:t>
      </w:r>
      <w:r>
        <w:rPr>
          <w:rFonts w:ascii="Times New Roman" w:hAnsi="Times New Roman" w:cs="Times New Roman"/>
          <w:sz w:val="32"/>
          <w:szCs w:val="32"/>
          <w:highlight w:val="none"/>
        </w:rPr>
        <w:t>：</w:t>
      </w:r>
      <w:r>
        <w:rPr>
          <w:rFonts w:ascii="Times New Roman" w:hAnsi="Times New Roman" w:eastAsia="黑体" w:cs="Times New Roman"/>
          <w:sz w:val="32"/>
          <w:szCs w:val="32"/>
          <w:highlight w:val="none"/>
          <w:u w:val="single"/>
        </w:rPr>
        <w:t xml:space="preserve"> </w:t>
      </w:r>
      <w:r>
        <w:rPr>
          <w:rFonts w:hint="eastAsia" w:ascii="Times New Roman" w:hAnsi="Times New Roman" w:eastAsia="黑体" w:cs="Times New Roman"/>
          <w:sz w:val="32"/>
          <w:szCs w:val="32"/>
          <w:highlight w:val="none"/>
          <w:u w:val="single"/>
          <w:lang w:val="en-US" w:eastAsia="zh-CN"/>
        </w:rPr>
        <w:t>2023</w:t>
      </w:r>
      <w:r>
        <w:rPr>
          <w:rFonts w:ascii="Times New Roman" w:hAnsi="Times New Roman" w:eastAsia="黑体" w:cs="Times New Roman"/>
          <w:sz w:val="32"/>
          <w:szCs w:val="32"/>
          <w:highlight w:val="none"/>
          <w:u w:val="single"/>
        </w:rPr>
        <w:t xml:space="preserve"> </w:t>
      </w:r>
      <w:r>
        <w:rPr>
          <w:rFonts w:ascii="Times New Roman" w:hAnsi="Times New Roman" w:cs="Times New Roman"/>
          <w:sz w:val="32"/>
          <w:szCs w:val="32"/>
          <w:highlight w:val="none"/>
        </w:rPr>
        <w:t>年</w:t>
      </w:r>
      <w:r>
        <w:rPr>
          <w:rFonts w:hint="eastAsia" w:ascii="Times New Roman" w:hAnsi="Times New Roman" w:eastAsia="黑体" w:cs="Times New Roman"/>
          <w:sz w:val="32"/>
          <w:szCs w:val="32"/>
          <w:highlight w:val="none"/>
          <w:u w:val="single"/>
          <w:lang w:val="en-US" w:eastAsia="zh-CN"/>
        </w:rPr>
        <w:t>6</w:t>
      </w:r>
      <w:r>
        <w:rPr>
          <w:rFonts w:ascii="Times New Roman" w:hAnsi="Times New Roman" w:cs="Times New Roman"/>
          <w:sz w:val="32"/>
          <w:szCs w:val="32"/>
          <w:highlight w:val="none"/>
        </w:rPr>
        <w:t>月</w:t>
      </w:r>
      <w:r>
        <w:rPr>
          <w:rFonts w:hint="eastAsia" w:ascii="Times New Roman" w:hAnsi="Times New Roman" w:eastAsia="黑体" w:cs="Times New Roman"/>
          <w:sz w:val="32"/>
          <w:szCs w:val="32"/>
          <w:highlight w:val="none"/>
          <w:u w:val="single"/>
          <w:lang w:val="en-US" w:eastAsia="zh-CN"/>
        </w:rPr>
        <w:t>1</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720" w:num="1"/>
          <w:docGrid w:type="lines" w:linePitch="312" w:charSpace="0"/>
        </w:sectPr>
      </w:pPr>
    </w:p>
    <w:p>
      <w:pPr>
        <w:pStyle w:val="37"/>
        <w:tabs>
          <w:tab w:val="right" w:leader="dot" w:pos="8312"/>
        </w:tabs>
        <w:jc w:val="center"/>
        <w:rPr>
          <w:rFonts w:ascii="Times New Roman" w:hAnsi="Times New Roman" w:eastAsia="宋体" w:cs="Times New Roman"/>
          <w:sz w:val="28"/>
          <w:szCs w:val="28"/>
          <w:highlight w:val="none"/>
        </w:rPr>
      </w:pPr>
      <w:bookmarkStart w:id="0" w:name="_Toc23500_WPSOffice_Type1"/>
      <w:r>
        <w:rPr>
          <w:rFonts w:ascii="Times New Roman" w:hAnsi="Times New Roman" w:eastAsia="宋体" w:cs="Times New Roman"/>
          <w:sz w:val="28"/>
          <w:szCs w:val="28"/>
          <w:highlight w:val="none"/>
        </w:rPr>
        <w:t>目</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录</w:t>
      </w:r>
    </w:p>
    <w:p>
      <w:pPr>
        <w:pStyle w:val="37"/>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"_Toc2405_WPSOffice_Level1" </w:instrText>
      </w:r>
      <w:r>
        <w:rPr>
          <w:highlight w:val="none"/>
        </w:rPr>
        <w:fldChar w:fldCharType="separate"/>
      </w:r>
      <w:r>
        <w:rPr>
          <w:rFonts w:ascii="Times New Roman" w:hAnsi="Times New Roman" w:eastAsia="宋体" w:cs="Times New Roman"/>
          <w:sz w:val="28"/>
          <w:szCs w:val="28"/>
          <w:highlight w:val="none"/>
        </w:rPr>
        <w:t>第一章 采购公告</w:t>
      </w:r>
      <w:r>
        <w:rPr>
          <w:rFonts w:ascii="Times New Roman" w:hAnsi="Times New Roman" w:eastAsia="宋体" w:cs="Times New Roman"/>
          <w:sz w:val="28"/>
          <w:szCs w:val="28"/>
          <w:highlight w:val="none"/>
        </w:rPr>
        <w:tab/>
      </w:r>
      <w:bookmarkStart w:id="1" w:name="_Toc2405_WPSOffice_Level1Page"/>
      <w:r>
        <w:rPr>
          <w:rFonts w:ascii="Times New Roman" w:hAnsi="Times New Roman" w:eastAsia="宋体" w:cs="Times New Roman"/>
          <w:sz w:val="28"/>
          <w:szCs w:val="28"/>
          <w:highlight w:val="none"/>
        </w:rPr>
        <w:t>1</w:t>
      </w:r>
      <w:bookmarkEnd w:id="1"/>
      <w:r>
        <w:rPr>
          <w:rFonts w:ascii="Times New Roman" w:hAnsi="Times New Roman" w:eastAsia="宋体" w:cs="Times New Roman"/>
          <w:sz w:val="28"/>
          <w:szCs w:val="28"/>
          <w:highlight w:val="none"/>
        </w:rPr>
        <w:fldChar w:fldCharType="end"/>
      </w:r>
    </w:p>
    <w:p>
      <w:pPr>
        <w:pStyle w:val="37"/>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"_Toc13339_WPSOffice_Level1" </w:instrText>
      </w:r>
      <w:r>
        <w:rPr>
          <w:highlight w:val="none"/>
        </w:rPr>
        <w:fldChar w:fldCharType="separate"/>
      </w:r>
      <w:r>
        <w:rPr>
          <w:rFonts w:ascii="Times New Roman" w:hAnsi="Times New Roman" w:eastAsia="宋体" w:cs="Times New Roman"/>
          <w:sz w:val="28"/>
          <w:szCs w:val="28"/>
          <w:highlight w:val="none"/>
        </w:rPr>
        <w:t>第二章 供应商须知</w:t>
      </w:r>
      <w:r>
        <w:rPr>
          <w:rFonts w:ascii="Times New Roman" w:hAnsi="Times New Roman" w:eastAsia="宋体" w:cs="Times New Roman"/>
          <w:sz w:val="28"/>
          <w:szCs w:val="28"/>
          <w:highlight w:val="none"/>
        </w:rPr>
        <w:tab/>
      </w:r>
      <w:r>
        <w:rPr>
          <w:rFonts w:hint="eastAsia" w:ascii="Times New Roman" w:hAnsi="Times New Roman" w:cs="Times New Roman"/>
          <w:sz w:val="28"/>
          <w:szCs w:val="28"/>
          <w:highlight w:val="none"/>
          <w:lang w:val="en-US" w:eastAsia="zh-CN"/>
        </w:rPr>
        <w:t>4</w:t>
      </w:r>
      <w:r>
        <w:rPr>
          <w:rFonts w:ascii="Times New Roman" w:hAnsi="Times New Roman" w:eastAsia="宋体" w:cs="Times New Roman"/>
          <w:sz w:val="28"/>
          <w:szCs w:val="28"/>
          <w:highlight w:val="none"/>
        </w:rPr>
        <w:fldChar w:fldCharType="end"/>
      </w:r>
    </w:p>
    <w:p>
      <w:pPr>
        <w:pStyle w:val="37"/>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"_Toc29272_WPSOffice_Level1" </w:instrText>
      </w:r>
      <w:r>
        <w:rPr>
          <w:highlight w:val="none"/>
        </w:rPr>
        <w:fldChar w:fldCharType="separate"/>
      </w:r>
      <w:r>
        <w:rPr>
          <w:rFonts w:ascii="Times New Roman" w:hAnsi="Times New Roman" w:eastAsia="宋体" w:cs="Times New Roman"/>
          <w:sz w:val="28"/>
          <w:szCs w:val="28"/>
          <w:highlight w:val="none"/>
        </w:rPr>
        <w:t>第三章 评审办法</w:t>
      </w:r>
      <w:r>
        <w:rPr>
          <w:rFonts w:ascii="Times New Roman" w:hAnsi="Times New Roman" w:eastAsia="宋体" w:cs="Times New Roman"/>
          <w:sz w:val="28"/>
          <w:szCs w:val="28"/>
          <w:highlight w:val="none"/>
        </w:rPr>
        <w:tab/>
      </w:r>
      <w:bookmarkStart w:id="2" w:name="_Toc29272_WPSOffice_Level1Page"/>
      <w:r>
        <w:rPr>
          <w:rFonts w:ascii="Times New Roman" w:hAnsi="Times New Roman" w:eastAsia="宋体" w:cs="Times New Roman"/>
          <w:sz w:val="28"/>
          <w:szCs w:val="28"/>
          <w:highlight w:val="none"/>
        </w:rPr>
        <w:t>1</w:t>
      </w:r>
      <w:bookmarkEnd w:id="2"/>
      <w:r>
        <w:rPr>
          <w:rFonts w:hint="eastAsia" w:ascii="Times New Roman" w:hAnsi="Times New Roman" w:cs="Times New Roman"/>
          <w:sz w:val="28"/>
          <w:szCs w:val="28"/>
          <w:highlight w:val="none"/>
          <w:lang w:val="en-US" w:eastAsia="zh-CN"/>
        </w:rPr>
        <w:t>1</w:t>
      </w:r>
      <w:r>
        <w:rPr>
          <w:rFonts w:hint="eastAsia" w:ascii="Times New Roman" w:hAnsi="Times New Roman" w:eastAsia="宋体" w:cs="Times New Roman"/>
          <w:sz w:val="28"/>
          <w:szCs w:val="28"/>
          <w:highlight w:val="none"/>
        </w:rPr>
        <w:fldChar w:fldCharType="end"/>
      </w:r>
    </w:p>
    <w:p>
      <w:pPr>
        <w:pStyle w:val="37"/>
        <w:tabs>
          <w:tab w:val="right" w:leader="dot" w:pos="8312"/>
        </w:tabs>
        <w:rPr>
          <w:rFonts w:hint="eastAsia" w:ascii="Times New Roman" w:hAnsi="Times New Roman" w:eastAsia="宋体" w:cs="Times New Roman"/>
          <w:sz w:val="28"/>
          <w:szCs w:val="28"/>
          <w:highlight w:val="none"/>
          <w:lang w:val="en-US" w:eastAsia="zh-CN"/>
        </w:rPr>
      </w:pPr>
      <w:r>
        <w:rPr>
          <w:highlight w:val="none"/>
        </w:rPr>
        <w:fldChar w:fldCharType="begin"/>
      </w:r>
      <w:r>
        <w:rPr>
          <w:highlight w:val="none"/>
        </w:rPr>
        <w:instrText xml:space="preserve"> HYPERLINK \l "_Toc13270_WPSOffice_Level1" </w:instrText>
      </w:r>
      <w:r>
        <w:rPr>
          <w:highlight w:val="none"/>
        </w:rPr>
        <w:fldChar w:fldCharType="separate"/>
      </w:r>
      <w:r>
        <w:rPr>
          <w:rFonts w:ascii="Times New Roman" w:hAnsi="Times New Roman" w:eastAsia="宋体" w:cs="Times New Roman"/>
          <w:sz w:val="28"/>
          <w:szCs w:val="28"/>
          <w:highlight w:val="none"/>
        </w:rPr>
        <w:t>第四章 合同内容</w:t>
      </w:r>
      <w:r>
        <w:rPr>
          <w:rFonts w:ascii="Times New Roman" w:hAnsi="Times New Roman" w:eastAsia="宋体" w:cs="Times New Roman"/>
          <w:sz w:val="28"/>
          <w:szCs w:val="28"/>
          <w:highlight w:val="none"/>
        </w:rPr>
        <w:tab/>
      </w:r>
      <w:r>
        <w:rPr>
          <w:rFonts w:hint="eastAsia" w:ascii="Times New Roman" w:hAnsi="Times New Roman" w:cs="Times New Roman"/>
          <w:sz w:val="28"/>
          <w:szCs w:val="28"/>
          <w:highlight w:val="none"/>
          <w:lang w:val="en-US" w:eastAsia="zh-CN"/>
        </w:rPr>
        <w:t>1</w:t>
      </w:r>
      <w:r>
        <w:rPr>
          <w:rFonts w:hint="eastAsia" w:ascii="Times New Roman" w:hAnsi="Times New Roman" w:eastAsia="宋体" w:cs="Times New Roman"/>
          <w:sz w:val="28"/>
          <w:szCs w:val="28"/>
          <w:highlight w:val="none"/>
        </w:rPr>
        <w:fldChar w:fldCharType="end"/>
      </w:r>
      <w:r>
        <w:rPr>
          <w:rFonts w:hint="eastAsia" w:ascii="Times New Roman" w:hAnsi="Times New Roman" w:cs="Times New Roman"/>
          <w:sz w:val="28"/>
          <w:szCs w:val="28"/>
          <w:highlight w:val="none"/>
          <w:lang w:val="en-US" w:eastAsia="zh-CN"/>
        </w:rPr>
        <w:t>7</w:t>
      </w:r>
    </w:p>
    <w:p>
      <w:pPr>
        <w:pStyle w:val="37"/>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"_Toc17834_WPSOffice_Level1" </w:instrText>
      </w:r>
      <w:r>
        <w:rPr>
          <w:highlight w:val="none"/>
        </w:rPr>
        <w:fldChar w:fldCharType="separate"/>
      </w:r>
      <w:r>
        <w:rPr>
          <w:rFonts w:ascii="Times New Roman" w:hAnsi="Times New Roman" w:eastAsia="宋体" w:cs="Times New Roman"/>
          <w:sz w:val="28"/>
          <w:szCs w:val="28"/>
          <w:highlight w:val="none"/>
        </w:rPr>
        <w:t>第五章 采购需求及清单</w:t>
      </w:r>
      <w:r>
        <w:rPr>
          <w:rFonts w:ascii="Times New Roman" w:hAnsi="Times New Roman" w:eastAsia="宋体" w:cs="Times New Roman"/>
          <w:sz w:val="28"/>
          <w:szCs w:val="28"/>
          <w:highlight w:val="none"/>
        </w:rPr>
        <w:tab/>
      </w:r>
      <w:r>
        <w:rPr>
          <w:rFonts w:hint="eastAsia" w:ascii="Times New Roman" w:hAnsi="Times New Roman" w:cs="Times New Roman"/>
          <w:sz w:val="28"/>
          <w:szCs w:val="28"/>
          <w:highlight w:val="none"/>
          <w:lang w:val="en-US" w:eastAsia="zh-CN"/>
        </w:rPr>
        <w:t>3</w:t>
      </w:r>
      <w:r>
        <w:rPr>
          <w:rFonts w:hint="eastAsia" w:ascii="Times New Roman" w:hAnsi="Times New Roman" w:eastAsia="宋体" w:cs="Times New Roman"/>
          <w:sz w:val="28"/>
          <w:szCs w:val="28"/>
          <w:highlight w:val="none"/>
        </w:rPr>
        <w:fldChar w:fldCharType="end"/>
      </w:r>
      <w:r>
        <w:rPr>
          <w:rFonts w:hint="eastAsia" w:ascii="Times New Roman" w:hAnsi="Times New Roman" w:cs="Times New Roman"/>
          <w:sz w:val="28"/>
          <w:szCs w:val="28"/>
          <w:highlight w:val="none"/>
          <w:lang w:val="en-US" w:eastAsia="zh-CN"/>
        </w:rPr>
        <w:t>5</w:t>
      </w:r>
    </w:p>
    <w:p>
      <w:pPr>
        <w:pStyle w:val="37"/>
        <w:tabs>
          <w:tab w:val="right" w:leader="dot" w:pos="8312"/>
        </w:tabs>
        <w:rPr>
          <w:highlight w:val="none"/>
        </w:rPr>
      </w:pPr>
      <w:r>
        <w:rPr>
          <w:highlight w:val="none"/>
        </w:rPr>
        <w:fldChar w:fldCharType="begin"/>
      </w:r>
      <w:r>
        <w:rPr>
          <w:highlight w:val="none"/>
        </w:rPr>
        <w:instrText xml:space="preserve"> HYPERLINK \l "_Toc27766_WPSOffice_Level1" </w:instrText>
      </w:r>
      <w:r>
        <w:rPr>
          <w:highlight w:val="none"/>
        </w:rPr>
        <w:fldChar w:fldCharType="separate"/>
      </w:r>
      <w:r>
        <w:rPr>
          <w:rFonts w:ascii="Times New Roman" w:hAnsi="Times New Roman" w:eastAsia="宋体" w:cs="Times New Roman"/>
          <w:sz w:val="28"/>
          <w:szCs w:val="28"/>
          <w:highlight w:val="none"/>
        </w:rPr>
        <w:t>第六章 响应文件格式</w:t>
      </w:r>
      <w:r>
        <w:rPr>
          <w:rFonts w:ascii="Times New Roman" w:hAnsi="Times New Roman" w:eastAsia="宋体" w:cs="Times New Roman"/>
          <w:sz w:val="28"/>
          <w:szCs w:val="28"/>
          <w:highlight w:val="none"/>
        </w:rPr>
        <w:tab/>
      </w:r>
      <w:r>
        <w:rPr>
          <w:rFonts w:hint="eastAsia" w:ascii="Times New Roman" w:hAnsi="Times New Roman" w:cs="Times New Roman"/>
          <w:sz w:val="28"/>
          <w:szCs w:val="28"/>
          <w:highlight w:val="none"/>
          <w:lang w:val="en-US" w:eastAsia="zh-CN"/>
        </w:rPr>
        <w:t>3</w:t>
      </w:r>
      <w:r>
        <w:rPr>
          <w:rFonts w:hint="eastAsia" w:ascii="Times New Roman" w:hAnsi="Times New Roman" w:eastAsia="宋体" w:cs="Times New Roman"/>
          <w:sz w:val="28"/>
          <w:szCs w:val="28"/>
          <w:highlight w:val="none"/>
        </w:rPr>
        <w:fldChar w:fldCharType="end"/>
      </w:r>
      <w:bookmarkEnd w:id="0"/>
      <w:r>
        <w:rPr>
          <w:rFonts w:hint="eastAsia" w:ascii="Times New Roman" w:hAnsi="Times New Roman" w:cs="Times New Roman"/>
          <w:sz w:val="28"/>
          <w:szCs w:val="28"/>
          <w:highlight w:val="none"/>
          <w:lang w:val="en-US" w:eastAsia="zh-CN"/>
        </w:rPr>
        <w:t>6</w:t>
      </w:r>
      <w:bookmarkStart w:id="282" w:name="_GoBack"/>
      <w:bookmarkEnd w:id="282"/>
    </w:p>
    <w:p>
      <w:pPr>
        <w:pStyle w:val="37"/>
        <w:tabs>
          <w:tab w:val="right" w:leader="dot" w:pos="8312"/>
        </w:tabs>
        <w:rPr>
          <w:highlight w:val="none"/>
        </w:rPr>
      </w:pPr>
    </w:p>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pStyle w:val="4"/>
        <w:spacing w:before="312" w:after="312"/>
        <w:rPr>
          <w:rFonts w:ascii="Times New Roman" w:hAnsi="Times New Roman" w:eastAsia="宋体" w:cs="Times New Roman"/>
          <w:highlight w:val="none"/>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4"/>
        <w:spacing w:before="312" w:after="312"/>
        <w:rPr>
          <w:rFonts w:ascii="Times New Roman" w:hAnsi="Times New Roman" w:eastAsia="宋体" w:cs="Times New Roman"/>
          <w:highlight w:val="none"/>
        </w:rPr>
      </w:pPr>
      <w:bookmarkStart w:id="3" w:name="_Toc2405_WPSOffice_Level1"/>
      <w:r>
        <w:rPr>
          <w:rFonts w:ascii="Times New Roman" w:hAnsi="Times New Roman" w:eastAsia="宋体" w:cs="Times New Roman"/>
          <w:highlight w:val="none"/>
        </w:rPr>
        <w:t>采购公告</w:t>
      </w:r>
      <w:bookmarkEnd w:id="3"/>
    </w:p>
    <w:p>
      <w:pPr>
        <w:pStyle w:val="5"/>
        <w:snapToGrid w:val="0"/>
        <w:spacing w:before="120" w:after="120" w:line="240" w:lineRule="auto"/>
        <w:ind w:firstLine="403"/>
        <w:rPr>
          <w:rFonts w:ascii="Times New Roman" w:hAnsi="Times New Roman" w:eastAsia="黑体" w:cs="Times New Roman"/>
          <w:bCs w:val="0"/>
          <w:sz w:val="22"/>
          <w:szCs w:val="15"/>
          <w:highlight w:val="none"/>
        </w:rPr>
      </w:pPr>
      <w:bookmarkStart w:id="4" w:name="_Toc525632585"/>
      <w:bookmarkStart w:id="5" w:name="_Toc6496_WPSOffice_Level2"/>
      <w:bookmarkStart w:id="6" w:name="_Toc4489_WPSOffice_Level2"/>
      <w:bookmarkStart w:id="7" w:name="_Toc12765"/>
      <w:bookmarkStart w:id="8" w:name="_Toc13871"/>
      <w:bookmarkStart w:id="9" w:name="_Toc10395_WPSOffice_Level2"/>
      <w:bookmarkStart w:id="10" w:name="_Toc24354_WPSOffice_Level2"/>
      <w:r>
        <w:rPr>
          <w:rFonts w:ascii="Times New Roman" w:hAnsi="Times New Roman" w:eastAsia="黑体" w:cs="Times New Roman"/>
          <w:bCs w:val="0"/>
          <w:sz w:val="22"/>
          <w:szCs w:val="15"/>
          <w:highlight w:val="none"/>
        </w:rPr>
        <w:t>项目简介</w:t>
      </w:r>
      <w:bookmarkEnd w:id="4"/>
      <w:bookmarkEnd w:id="5"/>
      <w:bookmarkEnd w:id="6"/>
      <w:bookmarkEnd w:id="7"/>
      <w:bookmarkEnd w:id="8"/>
      <w:bookmarkEnd w:id="9"/>
      <w:bookmarkEnd w:id="10"/>
    </w:p>
    <w:p>
      <w:pPr>
        <w:snapToGrid w:val="0"/>
        <w:spacing w:line="440" w:lineRule="exact"/>
        <w:ind w:firstLine="420" w:firstLineChars="200"/>
        <w:rPr>
          <w:rFonts w:hint="eastAsia" w:ascii="Times New Roman" w:hAnsi="Times New Roman" w:eastAsia="宋体" w:cs="Times New Roman"/>
          <w:szCs w:val="22"/>
          <w:highlight w:val="none"/>
          <w:u w:val="single"/>
          <w:lang w:val="en-US" w:eastAsia="zh-CN"/>
        </w:rPr>
      </w:pPr>
      <w:r>
        <w:rPr>
          <w:rFonts w:ascii="Times New Roman" w:hAnsi="Times New Roman" w:cs="Times New Roman"/>
          <w:szCs w:val="22"/>
          <w:highlight w:val="none"/>
        </w:rPr>
        <w:t>1.1 项目名称：</w:t>
      </w:r>
      <w:r>
        <w:rPr>
          <w:rFonts w:hint="eastAsia" w:ascii="Times New Roman" w:hAnsi="Times New Roman" w:cs="Times New Roman"/>
          <w:szCs w:val="22"/>
          <w:highlight w:val="none"/>
          <w:u w:val="single"/>
          <w:lang w:val="en-US" w:eastAsia="zh-CN"/>
        </w:rPr>
        <w:t>深圳安联尚璟府项目智慧泵房研究及应用服务</w:t>
      </w:r>
    </w:p>
    <w:p>
      <w:pPr>
        <w:snapToGrid w:val="0"/>
        <w:spacing w:line="440" w:lineRule="exact"/>
        <w:ind w:firstLine="420" w:firstLineChars="200"/>
        <w:rPr>
          <w:rFonts w:hint="eastAsia" w:ascii="Times New Roman" w:hAnsi="Times New Roman" w:eastAsia="宋体" w:cs="Times New Roman"/>
          <w:szCs w:val="22"/>
          <w:highlight w:val="none"/>
          <w:lang w:eastAsia="zh-CN"/>
        </w:rPr>
      </w:pPr>
      <w:r>
        <w:rPr>
          <w:rFonts w:ascii="Times New Roman" w:hAnsi="Times New Roman" w:cs="Times New Roman"/>
          <w:szCs w:val="22"/>
          <w:highlight w:val="none"/>
        </w:rPr>
        <w:t>1.2 采 购 人：</w:t>
      </w:r>
      <w:r>
        <w:rPr>
          <w:rFonts w:hint="eastAsia" w:ascii="Times New Roman" w:hAnsi="Times New Roman" w:cs="Times New Roman"/>
          <w:szCs w:val="22"/>
          <w:highlight w:val="none"/>
          <w:u w:val="single"/>
          <w:lang w:eastAsia="zh-CN"/>
        </w:rPr>
        <w:t>深圳市安之联置业有限公司</w:t>
      </w:r>
    </w:p>
    <w:p>
      <w:pPr>
        <w:snapToGrid w:val="0"/>
        <w:spacing w:line="440" w:lineRule="exact"/>
        <w:ind w:firstLine="420" w:firstLineChars="200"/>
        <w:rPr>
          <w:rFonts w:ascii="Times New Roman" w:hAnsi="Times New Roman" w:eastAsia="宋体" w:cs="Times New Roman"/>
          <w:szCs w:val="22"/>
          <w:highlight w:val="none"/>
        </w:rPr>
      </w:pPr>
      <w:r>
        <w:rPr>
          <w:rFonts w:ascii="Times New Roman" w:hAnsi="Times New Roman" w:cs="Times New Roman"/>
          <w:szCs w:val="22"/>
          <w:highlight w:val="none"/>
        </w:rPr>
        <w:t>1.3 项目概况：</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深圳安联尚璟府项目智慧泵房研究及应用用于指导住宅小区智慧泵房的建设及管理，提高居民生活用水的质量与安全。</w:t>
      </w:r>
      <w:r>
        <w:rPr>
          <w:rFonts w:ascii="Times New Roman" w:hAnsi="Times New Roman" w:cs="Times New Roman"/>
          <w:szCs w:val="22"/>
          <w:highlight w:val="none"/>
          <w:u w:val="single"/>
        </w:rPr>
        <w:t xml:space="preserve">   </w:t>
      </w:r>
    </w:p>
    <w:p>
      <w:pPr>
        <w:pStyle w:val="5"/>
        <w:snapToGrid w:val="0"/>
        <w:spacing w:before="120" w:after="120" w:line="240" w:lineRule="auto"/>
        <w:ind w:firstLine="403"/>
        <w:rPr>
          <w:rFonts w:ascii="Times New Roman" w:hAnsi="Times New Roman" w:eastAsia="黑体" w:cs="Times New Roman"/>
          <w:bCs w:val="0"/>
          <w:sz w:val="22"/>
          <w:szCs w:val="15"/>
          <w:highlight w:val="none"/>
        </w:rPr>
      </w:pPr>
      <w:bookmarkStart w:id="11" w:name="_Toc10274"/>
      <w:bookmarkStart w:id="12" w:name="_Toc17858_WPSOffice_Level2"/>
      <w:bookmarkStart w:id="13" w:name="_Toc18367_WPSOffice_Level2"/>
      <w:bookmarkStart w:id="14" w:name="_Toc18453"/>
      <w:bookmarkStart w:id="15" w:name="_Toc23266_WPSOffice_Level2"/>
      <w:bookmarkStart w:id="16" w:name="_Toc525632586"/>
      <w:bookmarkStart w:id="17" w:name="_Toc8128_WPSOffice_Level2"/>
      <w:r>
        <w:rPr>
          <w:rFonts w:ascii="Times New Roman" w:hAnsi="Times New Roman" w:eastAsia="黑体" w:cs="Times New Roman"/>
          <w:bCs w:val="0"/>
          <w:sz w:val="22"/>
          <w:szCs w:val="15"/>
          <w:highlight w:val="none"/>
        </w:rPr>
        <w:t>采购说明</w:t>
      </w:r>
      <w:bookmarkEnd w:id="11"/>
      <w:bookmarkEnd w:id="12"/>
      <w:bookmarkEnd w:id="13"/>
      <w:bookmarkEnd w:id="14"/>
      <w:bookmarkEnd w:id="15"/>
      <w:bookmarkEnd w:id="16"/>
      <w:bookmarkEnd w:id="17"/>
    </w:p>
    <w:p>
      <w:pPr>
        <w:snapToGrid w:val="0"/>
        <w:spacing w:line="440" w:lineRule="exact"/>
        <w:ind w:firstLine="420" w:firstLineChars="200"/>
        <w:rPr>
          <w:rFonts w:ascii="Times New Roman" w:hAnsi="Times New Roman" w:cs="Times New Roman"/>
          <w:szCs w:val="22"/>
          <w:highlight w:val="none"/>
          <w:u w:val="single"/>
        </w:rPr>
      </w:pPr>
      <w:bookmarkStart w:id="18" w:name="_Toc4489_WPSOffice_Level3"/>
      <w:r>
        <w:rPr>
          <w:rFonts w:ascii="Times New Roman" w:hAnsi="Times New Roman" w:cs="Times New Roman"/>
          <w:szCs w:val="22"/>
          <w:highlight w:val="none"/>
        </w:rPr>
        <w:t>2.1 采购方式：</w:t>
      </w:r>
      <w:bookmarkEnd w:id="18"/>
      <w:r>
        <w:rPr>
          <w:rFonts w:ascii="Times New Roman" w:hAnsi="Times New Roman" w:cs="Times New Roman"/>
          <w:szCs w:val="22"/>
          <w:highlight w:val="none"/>
          <w:u w:val="single"/>
        </w:rPr>
        <w:t>公开询比采购</w:t>
      </w:r>
    </w:p>
    <w:p>
      <w:pPr>
        <w:snapToGrid w:val="0"/>
        <w:spacing w:line="440" w:lineRule="exact"/>
        <w:ind w:firstLine="420" w:firstLineChars="200"/>
        <w:rPr>
          <w:rFonts w:ascii="Times New Roman" w:hAnsi="Times New Roman" w:cs="Times New Roman"/>
          <w:szCs w:val="22"/>
          <w:highlight w:val="none"/>
          <w:u w:val="single"/>
        </w:rPr>
      </w:pPr>
      <w:bookmarkStart w:id="19" w:name="_Toc23266_WPSOffice_Level3"/>
      <w:r>
        <w:rPr>
          <w:rFonts w:ascii="Times New Roman" w:hAnsi="Times New Roman" w:cs="Times New Roman"/>
          <w:szCs w:val="22"/>
          <w:highlight w:val="none"/>
        </w:rPr>
        <w:t>2.2 资金来源及比例：</w:t>
      </w:r>
      <w:bookmarkEnd w:id="19"/>
      <w:bookmarkStart w:id="20" w:name="_Toc22379_WPSOffice_Level3"/>
      <w:r>
        <w:rPr>
          <w:rFonts w:hint="eastAsia" w:ascii="Times New Roman" w:hAnsi="Times New Roman" w:cs="Times New Roman"/>
          <w:szCs w:val="22"/>
          <w:highlight w:val="none"/>
          <w:u w:val="single"/>
        </w:rPr>
        <w:t>100%来自</w:t>
      </w:r>
      <w:r>
        <w:rPr>
          <w:rFonts w:ascii="Times New Roman" w:hAnsi="Times New Roman" w:cs="Times New Roman"/>
          <w:szCs w:val="22"/>
          <w:highlight w:val="none"/>
          <w:u w:val="single"/>
        </w:rPr>
        <w:t>企业自筹</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 xml:space="preserve">2.3 </w:t>
      </w:r>
      <w:r>
        <w:rPr>
          <w:rFonts w:hint="eastAsia" w:ascii="Times New Roman" w:hAnsi="Times New Roman" w:cs="Times New Roman"/>
          <w:szCs w:val="22"/>
          <w:highlight w:val="none"/>
        </w:rPr>
        <w:t>采购范围：</w:t>
      </w:r>
      <w:r>
        <w:rPr>
          <w:rFonts w:hint="eastAsia" w:ascii="Times New Roman" w:hAnsi="Times New Roman" w:cs="Times New Roman"/>
          <w:szCs w:val="22"/>
          <w:highlight w:val="none"/>
          <w:u w:val="single"/>
        </w:rPr>
        <w:t>依托有关法律法规和政策要求，结合安联公司在建项目总结（包括不限于上海、大湾区、安徽省内等项目），随着智慧城市及智慧小区建设的推进，研究总结小区泵房智慧化泵房建设技术要点，形成安联公司住宅开发泵房建设技术类标准，指导住宅小区</w:t>
      </w:r>
      <w:r>
        <w:rPr>
          <w:rFonts w:hint="eastAsia" w:ascii="Times New Roman" w:hAnsi="Times New Roman" w:cs="Times New Roman"/>
          <w:szCs w:val="22"/>
          <w:highlight w:val="none"/>
          <w:u w:val="single"/>
          <w:lang w:eastAsia="zh-CN"/>
        </w:rPr>
        <w:t>智慧泵房研究及应用</w:t>
      </w:r>
      <w:r>
        <w:rPr>
          <w:rFonts w:hint="eastAsia" w:ascii="Times New Roman" w:hAnsi="Times New Roman" w:cs="Times New Roman"/>
          <w:szCs w:val="22"/>
          <w:highlight w:val="none"/>
          <w:u w:val="single"/>
        </w:rPr>
        <w:t>建设及管理，提高供水基础设施建设标准，保障供水系统从源头到龙头水质安全，提升泵房管理应用效率，满足深圳市社会主义先行示范区关于高质量供水的验收要求，版权归属安徽安联高速公路有限公司。</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 xml:space="preserve">2.4 </w:t>
      </w:r>
      <w:r>
        <w:rPr>
          <w:rFonts w:ascii="Times New Roman" w:hAnsi="Times New Roman" w:cs="Times New Roman"/>
          <w:szCs w:val="22"/>
          <w:highlight w:val="none"/>
        </w:rPr>
        <w:t>合同包划分：</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2.</w:t>
      </w:r>
      <w:r>
        <w:rPr>
          <w:rFonts w:hint="eastAsia" w:ascii="Times New Roman" w:hAnsi="Times New Roman" w:cs="Times New Roman"/>
          <w:szCs w:val="22"/>
          <w:highlight w:val="none"/>
        </w:rPr>
        <w:t>5</w:t>
      </w:r>
      <w:r>
        <w:rPr>
          <w:rFonts w:ascii="Times New Roman" w:hAnsi="Times New Roman" w:cs="Times New Roman"/>
          <w:szCs w:val="22"/>
          <w:highlight w:val="none"/>
        </w:rPr>
        <w:t xml:space="preserve"> 最高限价：</w:t>
      </w:r>
      <w:bookmarkEnd w:id="20"/>
      <w:r>
        <w:rPr>
          <w:rFonts w:hint="eastAsia" w:ascii="Times New Roman" w:hAnsi="Times New Roman" w:cs="Times New Roman"/>
          <w:szCs w:val="22"/>
          <w:highlight w:val="none"/>
          <w:u w:val="single"/>
          <w:lang w:val="en-US" w:eastAsia="zh-CN"/>
        </w:rPr>
        <w:t xml:space="preserve">   133333.00元</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u w:val="single"/>
          <w:lang w:val="en-US" w:eastAsia="zh-CN"/>
        </w:rPr>
        <w:t>含税</w:t>
      </w:r>
      <w:r>
        <w:rPr>
          <w:rFonts w:hint="eastAsia" w:ascii="Times New Roman" w:hAnsi="Times New Roman" w:cs="Times New Roman"/>
          <w:szCs w:val="22"/>
          <w:highlight w:val="none"/>
          <w:u w:val="single"/>
          <w:lang w:eastAsia="zh-CN"/>
        </w:rPr>
        <w:t>）</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2.6 计划服务期：</w:t>
      </w:r>
      <w:r>
        <w:rPr>
          <w:rFonts w:hint="eastAsia" w:ascii="Times New Roman" w:hAnsi="Times New Roman" w:cs="Times New Roman"/>
          <w:szCs w:val="22"/>
          <w:highlight w:val="none"/>
          <w:u w:val="single"/>
          <w:lang w:val="en-US" w:eastAsia="zh-CN"/>
        </w:rPr>
        <w:t>服务期自合同签订生效之日起至2023年12月31日止。</w:t>
      </w:r>
      <w:r>
        <w:rPr>
          <w:rFonts w:ascii="Times New Roman" w:hAnsi="Times New Roman" w:cs="Times New Roman"/>
          <w:szCs w:val="22"/>
          <w:highlight w:val="none"/>
          <w:u w:val="single"/>
        </w:rPr>
        <w:t xml:space="preserve"> </w:t>
      </w:r>
    </w:p>
    <w:p>
      <w:pPr>
        <w:pStyle w:val="5"/>
        <w:snapToGrid w:val="0"/>
        <w:spacing w:before="120" w:after="120" w:line="240" w:lineRule="auto"/>
        <w:ind w:firstLine="403"/>
        <w:rPr>
          <w:rFonts w:ascii="Times New Roman" w:hAnsi="Times New Roman" w:eastAsia="黑体" w:cs="Times New Roman"/>
          <w:bCs w:val="0"/>
          <w:sz w:val="22"/>
          <w:szCs w:val="15"/>
          <w:highlight w:val="none"/>
        </w:rPr>
      </w:pPr>
      <w:bookmarkStart w:id="21" w:name="_Toc3714"/>
      <w:bookmarkStart w:id="22" w:name="_Toc6388"/>
      <w:bookmarkStart w:id="23" w:name="_Toc29516_WPSOffice_Level2"/>
      <w:bookmarkStart w:id="24" w:name="_Toc22379_WPSOffice_Level2"/>
      <w:bookmarkStart w:id="25" w:name="_Toc1622_WPSOffice_Level2"/>
      <w:bookmarkStart w:id="26" w:name="_Toc31673_WPSOffice_Level2"/>
      <w:bookmarkStart w:id="27" w:name="_Toc525632587"/>
      <w:r>
        <w:rPr>
          <w:rFonts w:ascii="Times New Roman" w:hAnsi="Times New Roman" w:eastAsia="黑体" w:cs="Times New Roman"/>
          <w:bCs w:val="0"/>
          <w:sz w:val="22"/>
          <w:szCs w:val="15"/>
          <w:highlight w:val="none"/>
        </w:rPr>
        <w:t>供应商资格条件</w:t>
      </w:r>
      <w:bookmarkEnd w:id="21"/>
      <w:bookmarkEnd w:id="22"/>
      <w:bookmarkEnd w:id="23"/>
      <w:bookmarkEnd w:id="24"/>
      <w:bookmarkEnd w:id="25"/>
      <w:bookmarkEnd w:id="26"/>
      <w:bookmarkEnd w:id="27"/>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3.1 本次采购要求供应商须</w:t>
      </w:r>
      <w:r>
        <w:rPr>
          <w:rFonts w:hint="eastAsia" w:ascii="Times New Roman" w:hAnsi="Times New Roman" w:cs="Times New Roman"/>
          <w:szCs w:val="22"/>
          <w:highlight w:val="none"/>
        </w:rPr>
        <w:t>同时</w:t>
      </w:r>
      <w:r>
        <w:rPr>
          <w:rFonts w:ascii="Times New Roman" w:hAnsi="Times New Roman" w:cs="Times New Roman"/>
          <w:szCs w:val="22"/>
          <w:highlight w:val="none"/>
        </w:rPr>
        <w:t>具备：</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（1）资质最低要求：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①具备独立法人资格，持有有效的营业执照；</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②具备______/_______资质。</w:t>
      </w:r>
    </w:p>
    <w:p>
      <w:pPr>
        <w:numPr>
          <w:ilvl w:val="0"/>
          <w:numId w:val="3"/>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业绩最低要求：</w:t>
      </w:r>
    </w:p>
    <w:p>
      <w:pPr>
        <w:snapToGrid w:val="0"/>
        <w:spacing w:line="440" w:lineRule="exact"/>
        <w:ind w:firstLine="420" w:firstLineChars="200"/>
        <w:rPr>
          <w:rFonts w:ascii="Times New Roman" w:hAnsi="Times New Roman" w:cs="Times New Roman"/>
          <w:szCs w:val="22"/>
          <w:highlight w:val="none"/>
        </w:rPr>
      </w:pPr>
      <w:bookmarkStart w:id="28" w:name="_Hlk127450462"/>
      <w:r>
        <w:rPr>
          <w:rFonts w:ascii="Times New Roman" w:hAnsi="Times New Roman" w:cs="Times New Roman"/>
          <w:szCs w:val="22"/>
          <w:highlight w:val="none"/>
        </w:rPr>
        <w:t>近5年（指2018年</w:t>
      </w:r>
      <w:r>
        <w:rPr>
          <w:rFonts w:hint="eastAsia" w:ascii="Times New Roman" w:hAnsi="Times New Roman" w:cs="Times New Roman"/>
          <w:szCs w:val="22"/>
          <w:highlight w:val="none"/>
          <w:lang w:val="en-US" w:eastAsia="zh-CN"/>
        </w:rPr>
        <w:t>6</w:t>
      </w:r>
      <w:r>
        <w:rPr>
          <w:rFonts w:ascii="Times New Roman" w:hAnsi="Times New Roman" w:cs="Times New Roman"/>
          <w:szCs w:val="22"/>
          <w:highlight w:val="none"/>
        </w:rPr>
        <w:t>月</w:t>
      </w:r>
      <w:r>
        <w:rPr>
          <w:rFonts w:hint="eastAsia" w:ascii="Times New Roman" w:hAnsi="Times New Roman" w:cs="Times New Roman"/>
          <w:szCs w:val="22"/>
          <w:highlight w:val="none"/>
          <w:lang w:val="en-US" w:eastAsia="zh-CN"/>
        </w:rPr>
        <w:t>1</w:t>
      </w:r>
      <w:r>
        <w:rPr>
          <w:rFonts w:ascii="Times New Roman" w:hAnsi="Times New Roman" w:cs="Times New Roman"/>
          <w:szCs w:val="22"/>
          <w:highlight w:val="none"/>
        </w:rPr>
        <w:t>日至响应文件递交截止日期，以</w:t>
      </w:r>
      <w:r>
        <w:rPr>
          <w:rFonts w:hint="eastAsia" w:ascii="Times New Roman" w:hAnsi="Times New Roman" w:cs="Times New Roman"/>
          <w:szCs w:val="22"/>
          <w:highlight w:val="none"/>
        </w:rPr>
        <w:t>合同签订</w:t>
      </w:r>
      <w:r>
        <w:rPr>
          <w:rFonts w:ascii="Times New Roman" w:hAnsi="Times New Roman" w:cs="Times New Roman"/>
          <w:szCs w:val="22"/>
          <w:highlight w:val="none"/>
        </w:rPr>
        <w:t>时间为准）具备</w:t>
      </w:r>
      <w:r>
        <w:rPr>
          <w:rFonts w:hint="eastAsia" w:ascii="Times New Roman" w:hAnsi="Times New Roman" w:cs="Times New Roman"/>
          <w:szCs w:val="22"/>
          <w:highlight w:val="none"/>
          <w:lang w:val="en-US" w:eastAsia="zh-CN"/>
        </w:rPr>
        <w:t>至少</w:t>
      </w:r>
      <w:r>
        <w:rPr>
          <w:rFonts w:ascii="Times New Roman" w:hAnsi="Times New Roman" w:cs="Times New Roman"/>
          <w:szCs w:val="22"/>
          <w:highlight w:val="none"/>
        </w:rPr>
        <w:t>1</w:t>
      </w:r>
      <w:r>
        <w:rPr>
          <w:rFonts w:hint="eastAsia" w:ascii="Times New Roman" w:hAnsi="Times New Roman" w:cs="Times New Roman"/>
          <w:szCs w:val="22"/>
          <w:highlight w:val="none"/>
        </w:rPr>
        <w:t>个课题</w:t>
      </w:r>
      <w:r>
        <w:rPr>
          <w:rFonts w:hint="eastAsia" w:ascii="Times New Roman" w:hAnsi="Times New Roman" w:cs="Times New Roman"/>
          <w:szCs w:val="22"/>
          <w:highlight w:val="none"/>
          <w:lang w:val="en-US" w:eastAsia="zh-CN"/>
        </w:rPr>
        <w:t>研究服务</w:t>
      </w:r>
      <w:r>
        <w:rPr>
          <w:rFonts w:ascii="Times New Roman" w:hAnsi="Times New Roman" w:cs="Times New Roman"/>
          <w:szCs w:val="22"/>
          <w:highlight w:val="none"/>
        </w:rPr>
        <w:t>业绩。</w:t>
      </w:r>
      <w:bookmarkEnd w:id="28"/>
      <w:r>
        <w:rPr>
          <w:rFonts w:hint="eastAsia" w:ascii="Times New Roman" w:hAnsi="Times New Roman" w:cs="Times New Roman"/>
          <w:szCs w:val="22"/>
          <w:highlight w:val="none"/>
        </w:rPr>
        <w:t>业绩证明材料须提供含签订日期、合同金额</w:t>
      </w:r>
      <w:r>
        <w:rPr>
          <w:rFonts w:hint="eastAsia" w:ascii="Times New Roman" w:hAnsi="Times New Roman" w:cs="Times New Roman"/>
          <w:szCs w:val="22"/>
          <w:highlight w:val="none"/>
          <w:lang w:eastAsia="zh-CN"/>
        </w:rPr>
        <w:t>、</w:t>
      </w:r>
      <w:r>
        <w:rPr>
          <w:rFonts w:hint="eastAsia" w:ascii="Times New Roman" w:hAnsi="Times New Roman" w:cs="Times New Roman"/>
          <w:szCs w:val="22"/>
          <w:highlight w:val="none"/>
          <w:lang w:val="en-US" w:eastAsia="zh-CN"/>
        </w:rPr>
        <w:t>服务内容等</w:t>
      </w:r>
      <w:r>
        <w:rPr>
          <w:rFonts w:hint="eastAsia" w:ascii="Times New Roman" w:hAnsi="Times New Roman" w:cs="Times New Roman"/>
          <w:szCs w:val="22"/>
          <w:highlight w:val="none"/>
        </w:rPr>
        <w:t>相关信息的合同文件，并加盖响应人公章。</w:t>
      </w:r>
    </w:p>
    <w:p>
      <w:pPr>
        <w:numPr>
          <w:ilvl w:val="0"/>
          <w:numId w:val="3"/>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主要人员最低要求：</w:t>
      </w:r>
      <w:r>
        <w:rPr>
          <w:rFonts w:hint="eastAsia" w:ascii="Times New Roman" w:hAnsi="Times New Roman" w:cs="Times New Roman"/>
          <w:szCs w:val="22"/>
          <w:highlight w:val="none"/>
          <w:lang w:val="en-US" w:eastAsia="zh-CN"/>
        </w:rPr>
        <w:t xml:space="preserve"> </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项目</w:t>
      </w:r>
      <w:r>
        <w:rPr>
          <w:rFonts w:hint="eastAsia" w:ascii="Times New Roman" w:hAnsi="Times New Roman" w:cs="Times New Roman"/>
          <w:szCs w:val="22"/>
          <w:highlight w:val="none"/>
        </w:rPr>
        <w:t>负责人</w:t>
      </w:r>
      <w:r>
        <w:rPr>
          <w:rFonts w:ascii="Times New Roman" w:hAnsi="Times New Roman" w:cs="Times New Roman"/>
          <w:szCs w:val="22"/>
          <w:highlight w:val="none"/>
        </w:rPr>
        <w:t>1名，具备以下资格条件：</w:t>
      </w:r>
    </w:p>
    <w:p>
      <w:pPr>
        <w:pStyle w:val="43"/>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0" w:firstLine="420" w:firstLineChars="200"/>
        <w:textAlignment w:val="auto"/>
        <w:rPr>
          <w:rFonts w:ascii="Times New Roman" w:hAnsi="Times New Roman" w:cs="Times New Roman"/>
          <w:sz w:val="18"/>
          <w:szCs w:val="21"/>
          <w:highlight w:val="none"/>
        </w:rPr>
      </w:pPr>
      <w:r>
        <w:rPr>
          <w:rFonts w:hint="eastAsia" w:ascii="Times New Roman" w:hAnsi="Times New Roman" w:cs="Times New Roman"/>
          <w:szCs w:val="22"/>
          <w:highlight w:val="none"/>
        </w:rPr>
        <w:t>本单位已为项目负责人缴纳社保</w:t>
      </w:r>
      <w:r>
        <w:rPr>
          <w:rFonts w:hint="eastAsia" w:ascii="Times New Roman" w:hAnsi="Times New Roman" w:cs="Times New Roman"/>
          <w:szCs w:val="22"/>
          <w:highlight w:val="none"/>
          <w:lang w:val="en-US" w:eastAsia="zh-CN"/>
        </w:rPr>
        <w:t>至少</w:t>
      </w:r>
      <w:r>
        <w:rPr>
          <w:rFonts w:hint="eastAsia" w:ascii="Times New Roman" w:hAnsi="Times New Roman" w:cs="Times New Roman"/>
          <w:szCs w:val="22"/>
          <w:highlight w:val="none"/>
        </w:rPr>
        <w:t>三个月</w:t>
      </w:r>
      <w:r>
        <w:rPr>
          <w:rFonts w:hint="eastAsia" w:ascii="Times New Roman" w:hAnsi="Times New Roman" w:cs="Times New Roman"/>
          <w:szCs w:val="22"/>
          <w:highlight w:val="none"/>
          <w:lang w:eastAsia="zh-CN"/>
        </w:rPr>
        <w:t>（</w:t>
      </w:r>
      <w:r>
        <w:rPr>
          <w:rFonts w:hint="eastAsia" w:ascii="Times New Roman" w:hAnsi="Times New Roman" w:cs="Times New Roman"/>
          <w:szCs w:val="22"/>
          <w:highlight w:val="none"/>
          <w:lang w:val="en-US" w:eastAsia="zh-CN"/>
        </w:rPr>
        <w:t>应包含</w:t>
      </w:r>
      <w:r>
        <w:rPr>
          <w:rFonts w:hint="eastAsia" w:ascii="Times New Roman" w:hAnsi="Times New Roman" w:cs="Times New Roman"/>
          <w:szCs w:val="22"/>
          <w:highlight w:val="none"/>
        </w:rPr>
        <w:t>202</w:t>
      </w:r>
      <w:r>
        <w:rPr>
          <w:rFonts w:hint="eastAsia" w:ascii="Times New Roman" w:hAnsi="Times New Roman" w:cs="Times New Roman"/>
          <w:szCs w:val="22"/>
          <w:highlight w:val="none"/>
          <w:lang w:val="en-US" w:eastAsia="zh-CN"/>
        </w:rPr>
        <w:t>3</w:t>
      </w:r>
      <w:r>
        <w:rPr>
          <w:rFonts w:hint="eastAsia" w:ascii="Times New Roman" w:hAnsi="Times New Roman" w:cs="Times New Roman"/>
          <w:szCs w:val="22"/>
          <w:highlight w:val="none"/>
        </w:rPr>
        <w:t>年</w:t>
      </w:r>
      <w:r>
        <w:rPr>
          <w:rFonts w:hint="eastAsia" w:ascii="Times New Roman" w:hAnsi="Times New Roman" w:cs="Times New Roman"/>
          <w:szCs w:val="22"/>
          <w:highlight w:val="none"/>
          <w:lang w:val="en-US" w:eastAsia="zh-CN"/>
        </w:rPr>
        <w:t>3</w:t>
      </w:r>
      <w:r>
        <w:rPr>
          <w:rFonts w:hint="eastAsia" w:ascii="Times New Roman" w:hAnsi="Times New Roman" w:cs="Times New Roman"/>
          <w:szCs w:val="22"/>
          <w:highlight w:val="none"/>
        </w:rPr>
        <w:t>月至202</w:t>
      </w:r>
      <w:r>
        <w:rPr>
          <w:rFonts w:ascii="Times New Roman" w:hAnsi="Times New Roman" w:cs="Times New Roman"/>
          <w:szCs w:val="22"/>
          <w:highlight w:val="none"/>
        </w:rPr>
        <w:t>3</w:t>
      </w:r>
      <w:r>
        <w:rPr>
          <w:rFonts w:hint="eastAsia" w:ascii="Times New Roman" w:hAnsi="Times New Roman" w:cs="Times New Roman"/>
          <w:szCs w:val="22"/>
          <w:highlight w:val="none"/>
        </w:rPr>
        <w:t>年</w:t>
      </w:r>
      <w:r>
        <w:rPr>
          <w:rFonts w:hint="eastAsia" w:ascii="Times New Roman" w:hAnsi="Times New Roman" w:cs="Times New Roman"/>
          <w:szCs w:val="22"/>
          <w:highlight w:val="none"/>
          <w:lang w:val="en-US" w:eastAsia="zh-CN"/>
        </w:rPr>
        <w:t>5</w:t>
      </w:r>
      <w:r>
        <w:rPr>
          <w:rFonts w:hint="eastAsia" w:ascii="Times New Roman" w:hAnsi="Times New Roman" w:cs="Times New Roman"/>
          <w:szCs w:val="22"/>
          <w:highlight w:val="none"/>
        </w:rPr>
        <w:t>月</w:t>
      </w:r>
      <w:r>
        <w:rPr>
          <w:rFonts w:hint="eastAsia" w:ascii="Times New Roman" w:hAnsi="Times New Roman" w:cs="Times New Roman"/>
          <w:szCs w:val="22"/>
          <w:highlight w:val="none"/>
          <w:lang w:eastAsia="zh-CN"/>
        </w:rPr>
        <w:t>）</w:t>
      </w:r>
      <w:r>
        <w:rPr>
          <w:rFonts w:hint="eastAsia" w:ascii="Times New Roman" w:hAnsi="Times New Roman" w:cs="Times New Roman"/>
          <w:szCs w:val="22"/>
          <w:highlight w:val="none"/>
        </w:rPr>
        <w:t>，社保证明材料须加盖社保中心章或社保中心参保缴费证明电子专用章复印件加盖响应人公章。</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对供应商其他人员的要求：</w:t>
      </w:r>
      <w:r>
        <w:rPr>
          <w:rFonts w:ascii="Times New Roman" w:hAnsi="Times New Roman" w:cs="Times New Roman"/>
          <w:sz w:val="18"/>
          <w:szCs w:val="21"/>
          <w:highlight w:val="none"/>
        </w:rPr>
        <w:t>____/__。</w:t>
      </w:r>
    </w:p>
    <w:p>
      <w:pPr>
        <w:numPr>
          <w:ilvl w:val="0"/>
          <w:numId w:val="3"/>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信誉要求最低要求：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w:t>
      </w:r>
      <w:r>
        <w:rPr>
          <w:rFonts w:hint="eastAsia" w:ascii="Times New Roman" w:hAnsi="Times New Roman" w:cs="Times New Roman"/>
          <w:szCs w:val="22"/>
          <w:highlight w:val="none"/>
        </w:rPr>
        <w:t>未被责令停业，暂扣或吊销执照，或吊销资质证书；</w:t>
      </w:r>
    </w:p>
    <w:p>
      <w:pPr>
        <w:snapToGrid w:val="0"/>
        <w:spacing w:line="440" w:lineRule="exact"/>
        <w:ind w:firstLine="420" w:firstLineChars="200"/>
        <w:rPr>
          <w:highlight w:val="none"/>
        </w:rPr>
      </w:pPr>
      <w:r>
        <w:rPr>
          <w:rFonts w:hint="eastAsia" w:ascii="Times New Roman" w:hAnsi="Times New Roman" w:cs="Times New Roman"/>
          <w:szCs w:val="22"/>
          <w:highlight w:val="none"/>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③</w:t>
      </w:r>
      <w:r>
        <w:rPr>
          <w:rFonts w:ascii="Times New Roman" w:hAnsi="Times New Roman" w:cs="Times New Roman"/>
          <w:szCs w:val="22"/>
          <w:highlight w:val="none"/>
        </w:rPr>
        <w:t>在国家企业信用信息公示系统（http://www.gsxt.gov.cn）中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被列入严重违法失信企业名单；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④</w:t>
      </w:r>
      <w:r>
        <w:rPr>
          <w:rFonts w:ascii="Times New Roman" w:hAnsi="Times New Roman" w:cs="Times New Roman"/>
          <w:szCs w:val="22"/>
          <w:highlight w:val="none"/>
        </w:rPr>
        <w:t>在“信用中国”网站（http://www.creditchina.gov.cn）中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被列入失信被执行人名单；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⑤</w:t>
      </w:r>
      <w:r>
        <w:rPr>
          <w:rFonts w:ascii="Times New Roman" w:hAnsi="Times New Roman" w:cs="Times New Roman"/>
          <w:szCs w:val="22"/>
          <w:highlight w:val="none"/>
        </w:rPr>
        <w:t>在近三年内（自</w:t>
      </w:r>
      <w:r>
        <w:rPr>
          <w:rFonts w:hint="eastAsia" w:ascii="Times New Roman" w:hAnsi="Times New Roman" w:cs="Times New Roman"/>
          <w:szCs w:val="22"/>
          <w:highlight w:val="none"/>
        </w:rPr>
        <w:t>响应文件递交截止之日</w:t>
      </w:r>
      <w:r>
        <w:rPr>
          <w:rFonts w:ascii="Times New Roman" w:hAnsi="Times New Roman" w:cs="Times New Roman"/>
          <w:szCs w:val="22"/>
          <w:highlight w:val="none"/>
        </w:rPr>
        <w:t>向前追溯3年）供应商或其法定代表人、拟委任的项目</w:t>
      </w:r>
      <w:r>
        <w:rPr>
          <w:rFonts w:hint="eastAsia" w:ascii="Times New Roman" w:hAnsi="Times New Roman" w:cs="Times New Roman"/>
          <w:szCs w:val="22"/>
          <w:highlight w:val="none"/>
        </w:rPr>
        <w:t>负责人未</w:t>
      </w:r>
      <w:r>
        <w:rPr>
          <w:rFonts w:ascii="Times New Roman" w:hAnsi="Times New Roman" w:cs="Times New Roman"/>
          <w:szCs w:val="22"/>
          <w:highlight w:val="none"/>
        </w:rPr>
        <w:t>有行贿犯罪行为。</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⑥其他要求：______</w:t>
      </w:r>
      <w:r>
        <w:rPr>
          <w:rFonts w:ascii="Times New Roman" w:hAnsi="Times New Roman"/>
          <w:highlight w:val="none"/>
        </w:rPr>
        <w:t>/</w:t>
      </w:r>
      <w:r>
        <w:rPr>
          <w:rFonts w:hint="eastAsia" w:ascii="Times New Roman" w:hAnsi="Times New Roman"/>
          <w:highlight w:val="none"/>
        </w:rPr>
        <w:t>________。</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3.2 联合体：本次采购</w:t>
      </w:r>
      <w:r>
        <w:rPr>
          <w:rFonts w:hint="eastAsia" w:ascii="Times New Roman" w:hAnsi="Times New Roman" w:cs="Times New Roman"/>
          <w:szCs w:val="22"/>
          <w:highlight w:val="none"/>
        </w:rPr>
        <w:t>不接受</w:t>
      </w:r>
      <w:r>
        <w:rPr>
          <w:rFonts w:ascii="Times New Roman" w:hAnsi="Times New Roman" w:cs="Times New Roman"/>
          <w:szCs w:val="22"/>
          <w:highlight w:val="none"/>
        </w:rPr>
        <w:t>联合体报价。</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3.3 单位负责人为同一人或者存在控股、管理关系的不同单位，不得同时参加同一合同包报价，否则相关响应文件均无效。</w:t>
      </w:r>
    </w:p>
    <w:p>
      <w:pPr>
        <w:pStyle w:val="5"/>
        <w:snapToGrid w:val="0"/>
        <w:spacing w:before="120" w:after="120" w:line="240" w:lineRule="auto"/>
        <w:ind w:firstLine="403"/>
        <w:rPr>
          <w:rFonts w:ascii="Times New Roman" w:hAnsi="Times New Roman" w:eastAsia="黑体" w:cs="Times New Roman"/>
          <w:bCs w:val="0"/>
          <w:sz w:val="22"/>
          <w:szCs w:val="15"/>
          <w:highlight w:val="none"/>
        </w:rPr>
      </w:pPr>
      <w:bookmarkStart w:id="29" w:name="_Toc25666_WPSOffice_Level2"/>
      <w:bookmarkStart w:id="30" w:name="_Toc2996_WPSOffice_Level2"/>
      <w:bookmarkStart w:id="31" w:name="_Toc29452_WPSOffice_Level2"/>
      <w:bookmarkStart w:id="32" w:name="_Toc525632588"/>
      <w:bookmarkStart w:id="33" w:name="_Toc4109_WPSOffice_Level2"/>
      <w:bookmarkStart w:id="34" w:name="_Toc1994"/>
      <w:bookmarkStart w:id="35" w:name="_Toc4751"/>
      <w:r>
        <w:rPr>
          <w:rFonts w:hint="eastAsia" w:ascii="Times New Roman" w:hAnsi="Times New Roman" w:eastAsia="黑体" w:cs="Times New Roman"/>
          <w:bCs w:val="0"/>
          <w:sz w:val="22"/>
          <w:szCs w:val="15"/>
          <w:highlight w:val="none"/>
        </w:rPr>
        <w:t>询比文件</w:t>
      </w:r>
      <w:r>
        <w:rPr>
          <w:rFonts w:ascii="Times New Roman" w:hAnsi="Times New Roman" w:eastAsia="黑体" w:cs="Times New Roman"/>
          <w:bCs w:val="0"/>
          <w:sz w:val="22"/>
          <w:szCs w:val="15"/>
          <w:highlight w:val="none"/>
        </w:rPr>
        <w:t>的获取</w:t>
      </w:r>
    </w:p>
    <w:p>
      <w:pPr>
        <w:snapToGrid w:val="0"/>
        <w:spacing w:line="440" w:lineRule="exact"/>
        <w:ind w:firstLine="367" w:firstLineChars="175"/>
        <w:rPr>
          <w:rFonts w:ascii="Times New Roman" w:hAnsi="Times New Roman" w:cs="Times New Roman"/>
          <w:szCs w:val="22"/>
          <w:highlight w:val="none"/>
        </w:rPr>
      </w:pPr>
      <w:r>
        <w:rPr>
          <w:rFonts w:ascii="Times New Roman" w:hAnsi="Times New Roman" w:cs="Times New Roman"/>
          <w:szCs w:val="22"/>
          <w:highlight w:val="none"/>
        </w:rPr>
        <w:t>供应商应在递交响应文件的截止时间前登录</w:t>
      </w:r>
      <w:r>
        <w:rPr>
          <w:rFonts w:hint="eastAsia" w:ascii="Times New Roman" w:hAnsi="Times New Roman" w:cs="Times New Roman"/>
          <w:szCs w:val="22"/>
          <w:highlight w:val="none"/>
        </w:rPr>
        <w:t>安徽安联高速公路有限公司官方网站</w:t>
      </w:r>
      <w:r>
        <w:rPr>
          <w:rFonts w:ascii="Times New Roman" w:hAnsi="Times New Roman" w:cs="Times New Roman"/>
          <w:szCs w:val="22"/>
          <w:highlight w:val="none"/>
        </w:rPr>
        <w:t>，选择所参加的</w:t>
      </w:r>
      <w:r>
        <w:rPr>
          <w:rFonts w:hint="eastAsia" w:ascii="Times New Roman" w:hAnsi="Times New Roman" w:cs="Times New Roman"/>
          <w:szCs w:val="22"/>
          <w:highlight w:val="none"/>
        </w:rPr>
        <w:t>项目</w:t>
      </w:r>
      <w:r>
        <w:rPr>
          <w:rFonts w:ascii="Times New Roman" w:hAnsi="Times New Roman" w:cs="Times New Roman"/>
          <w:szCs w:val="22"/>
          <w:highlight w:val="none"/>
        </w:rPr>
        <w:t>，自行下载</w:t>
      </w:r>
      <w:r>
        <w:rPr>
          <w:rFonts w:hint="eastAsia" w:ascii="Times New Roman" w:hAnsi="Times New Roman" w:cs="Times New Roman"/>
          <w:szCs w:val="22"/>
          <w:highlight w:val="none"/>
        </w:rPr>
        <w:t>询比文件</w:t>
      </w:r>
      <w:r>
        <w:rPr>
          <w:rFonts w:ascii="Times New Roman" w:hAnsi="Times New Roman" w:cs="Times New Roman"/>
          <w:szCs w:val="22"/>
          <w:highlight w:val="none"/>
        </w:rPr>
        <w:t>及相关资料</w:t>
      </w:r>
      <w:r>
        <w:rPr>
          <w:rFonts w:ascii="Times New Roman" w:hAnsi="Times New Roman" w:cs="Times New Roman"/>
          <w:szCs w:val="21"/>
          <w:highlight w:val="none"/>
        </w:rPr>
        <w:t>。未按规定在</w:t>
      </w:r>
      <w:r>
        <w:rPr>
          <w:rFonts w:hint="eastAsia" w:ascii="Times New Roman" w:hAnsi="Times New Roman" w:cs="Times New Roman"/>
          <w:szCs w:val="22"/>
          <w:highlight w:val="none"/>
        </w:rPr>
        <w:t>安徽安联高速公路有限公司官方网站</w:t>
      </w:r>
      <w:r>
        <w:rPr>
          <w:rFonts w:ascii="Times New Roman" w:hAnsi="Times New Roman" w:cs="Times New Roman"/>
          <w:szCs w:val="22"/>
          <w:highlight w:val="none"/>
        </w:rPr>
        <w:t>下载</w:t>
      </w:r>
      <w:r>
        <w:rPr>
          <w:rFonts w:hint="eastAsia" w:ascii="Times New Roman" w:hAnsi="Times New Roman" w:cs="Times New Roman"/>
          <w:szCs w:val="22"/>
          <w:highlight w:val="none"/>
        </w:rPr>
        <w:t>询比文件</w:t>
      </w:r>
      <w:r>
        <w:rPr>
          <w:rFonts w:ascii="Times New Roman" w:hAnsi="Times New Roman" w:cs="Times New Roman"/>
          <w:szCs w:val="22"/>
          <w:highlight w:val="none"/>
        </w:rPr>
        <w:t>的，后续将不予接受其响应文件。</w:t>
      </w:r>
    </w:p>
    <w:p>
      <w:pPr>
        <w:pStyle w:val="5"/>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响应文件的递交</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响应文件递交的截止时间为</w:t>
      </w:r>
      <w:r>
        <w:rPr>
          <w:rFonts w:hint="eastAsia" w:ascii="Times New Roman" w:hAnsi="Times New Roman" w:cs="Times New Roman"/>
          <w:szCs w:val="22"/>
          <w:highlight w:val="none"/>
          <w:u w:val="single"/>
          <w:lang w:val="en-US" w:eastAsia="zh-CN"/>
        </w:rPr>
        <w:t>2023</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 xml:space="preserve"> 6 </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 xml:space="preserve"> 6 </w:t>
      </w:r>
      <w:r>
        <w:rPr>
          <w:rFonts w:ascii="Times New Roman" w:hAnsi="Times New Roman" w:cs="Times New Roman"/>
          <w:szCs w:val="22"/>
          <w:highlight w:val="none"/>
        </w:rPr>
        <w:t>日</w:t>
      </w:r>
      <w:r>
        <w:rPr>
          <w:rFonts w:hint="eastAsia" w:ascii="Times New Roman" w:hAnsi="Times New Roman" w:cs="Times New Roman"/>
          <w:szCs w:val="22"/>
          <w:highlight w:val="none"/>
          <w:u w:val="single"/>
          <w:lang w:val="en-US" w:eastAsia="zh-CN"/>
        </w:rPr>
        <w:t xml:space="preserve"> 14 </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 xml:space="preserve"> 00 </w:t>
      </w:r>
      <w:r>
        <w:rPr>
          <w:rFonts w:ascii="Times New Roman" w:hAnsi="Times New Roman" w:cs="Times New Roman"/>
          <w:szCs w:val="22"/>
          <w:highlight w:val="none"/>
        </w:rPr>
        <w:t>分，供应商的法定代表人或其授权代理人应于</w:t>
      </w:r>
      <w:r>
        <w:rPr>
          <w:rFonts w:hint="eastAsia" w:ascii="Times New Roman" w:hAnsi="Times New Roman" w:cs="Times New Roman"/>
          <w:szCs w:val="22"/>
          <w:highlight w:val="none"/>
          <w:u w:val="single"/>
          <w:lang w:val="en-US" w:eastAsia="zh-CN"/>
        </w:rPr>
        <w:t>2023</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 xml:space="preserve"> 6 </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 xml:space="preserve"> 6 </w:t>
      </w:r>
      <w:r>
        <w:rPr>
          <w:rFonts w:ascii="Times New Roman" w:hAnsi="Times New Roman" w:cs="Times New Roman"/>
          <w:szCs w:val="22"/>
          <w:highlight w:val="none"/>
        </w:rPr>
        <w:t>日</w:t>
      </w:r>
      <w:r>
        <w:rPr>
          <w:rFonts w:hint="eastAsia" w:ascii="Times New Roman" w:hAnsi="Times New Roman" w:cs="Times New Roman"/>
          <w:i w:val="0"/>
          <w:iCs w:val="0"/>
          <w:szCs w:val="22"/>
          <w:highlight w:val="none"/>
          <w:u w:val="single"/>
          <w:lang w:val="en-US" w:eastAsia="zh-CN"/>
        </w:rPr>
        <w:t xml:space="preserve"> </w:t>
      </w:r>
      <w:r>
        <w:rPr>
          <w:rFonts w:hint="eastAsia" w:ascii="Times New Roman" w:hAnsi="Times New Roman" w:cs="Times New Roman"/>
          <w:szCs w:val="22"/>
          <w:highlight w:val="none"/>
          <w:u w:val="single"/>
          <w:lang w:val="en-US" w:eastAsia="zh-CN"/>
        </w:rPr>
        <w:t xml:space="preserve">8 </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 xml:space="preserve"> 30 </w:t>
      </w:r>
      <w:r>
        <w:rPr>
          <w:rFonts w:ascii="Times New Roman" w:hAnsi="Times New Roman" w:cs="Times New Roman"/>
          <w:szCs w:val="22"/>
          <w:highlight w:val="none"/>
        </w:rPr>
        <w:t>分</w:t>
      </w:r>
      <w:r>
        <w:rPr>
          <w:rFonts w:hint="eastAsia" w:ascii="Times New Roman" w:hAnsi="Times New Roman" w:cs="Times New Roman"/>
          <w:szCs w:val="22"/>
          <w:highlight w:val="none"/>
        </w:rPr>
        <w:t>至</w:t>
      </w:r>
      <w:r>
        <w:rPr>
          <w:rFonts w:hint="eastAsia" w:ascii="Times New Roman" w:hAnsi="Times New Roman" w:cs="Times New Roman"/>
          <w:szCs w:val="22"/>
          <w:highlight w:val="none"/>
          <w:u w:val="single"/>
          <w:lang w:val="en-US" w:eastAsia="zh-CN"/>
        </w:rPr>
        <w:t>2023</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 xml:space="preserve"> 6 </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 xml:space="preserve"> 6 </w:t>
      </w:r>
      <w:r>
        <w:rPr>
          <w:rFonts w:ascii="Times New Roman" w:hAnsi="Times New Roman" w:cs="Times New Roman"/>
          <w:szCs w:val="22"/>
          <w:highlight w:val="none"/>
        </w:rPr>
        <w:t>日</w:t>
      </w:r>
      <w:r>
        <w:rPr>
          <w:rFonts w:hint="eastAsia" w:ascii="Times New Roman" w:hAnsi="Times New Roman" w:cs="Times New Roman"/>
          <w:szCs w:val="22"/>
          <w:highlight w:val="none"/>
          <w:lang w:val="en-US" w:eastAsia="zh-CN"/>
        </w:rPr>
        <w:t>下午</w:t>
      </w:r>
      <w:r>
        <w:rPr>
          <w:rFonts w:hint="eastAsia" w:ascii="Times New Roman" w:hAnsi="Times New Roman" w:cs="Times New Roman"/>
          <w:szCs w:val="22"/>
          <w:highlight w:val="none"/>
          <w:u w:val="single"/>
          <w:lang w:val="en-US" w:eastAsia="zh-CN"/>
        </w:rPr>
        <w:t xml:space="preserve"> 14 </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 xml:space="preserve"> 00 </w:t>
      </w:r>
      <w:r>
        <w:rPr>
          <w:rFonts w:ascii="Times New Roman" w:hAnsi="Times New Roman" w:cs="Times New Roman"/>
          <w:szCs w:val="22"/>
          <w:highlight w:val="none"/>
        </w:rPr>
        <w:t>分</w:t>
      </w:r>
      <w:r>
        <w:rPr>
          <w:rFonts w:hint="eastAsia" w:ascii="Times New Roman" w:hAnsi="Times New Roman" w:cs="Times New Roman"/>
          <w:szCs w:val="22"/>
          <w:highlight w:val="none"/>
        </w:rPr>
        <w:t>（</w:t>
      </w:r>
      <w:r>
        <w:rPr>
          <w:rFonts w:ascii="Times New Roman" w:hAnsi="Times New Roman" w:cs="Times New Roman"/>
          <w:szCs w:val="22"/>
          <w:highlight w:val="none"/>
        </w:rPr>
        <w:t>递交的截止时间</w:t>
      </w:r>
      <w:r>
        <w:rPr>
          <w:rFonts w:hint="eastAsia" w:ascii="Times New Roman" w:hAnsi="Times New Roman" w:cs="Times New Roman"/>
          <w:szCs w:val="22"/>
          <w:highlight w:val="none"/>
        </w:rPr>
        <w:t>）</w:t>
      </w:r>
      <w:r>
        <w:rPr>
          <w:rFonts w:ascii="Times New Roman" w:hAnsi="Times New Roman" w:cs="Times New Roman"/>
          <w:szCs w:val="22"/>
          <w:highlight w:val="none"/>
        </w:rPr>
        <w:t>将响应文件</w:t>
      </w:r>
      <w:r>
        <w:rPr>
          <w:rFonts w:hint="eastAsia" w:ascii="Times New Roman" w:hAnsi="Times New Roman" w:cs="Times New Roman"/>
          <w:szCs w:val="22"/>
          <w:highlight w:val="none"/>
        </w:rPr>
        <w:t>递交</w:t>
      </w:r>
      <w:r>
        <w:rPr>
          <w:rFonts w:hint="eastAsia" w:ascii="Times New Roman" w:hAnsi="Times New Roman" w:cs="Times New Roman"/>
          <w:szCs w:val="22"/>
          <w:highlight w:val="none"/>
          <w:lang w:val="en-US" w:eastAsia="zh-CN"/>
        </w:rPr>
        <w:t>或邮寄</w:t>
      </w:r>
      <w:r>
        <w:rPr>
          <w:rFonts w:hint="eastAsia" w:ascii="Times New Roman" w:hAnsi="Times New Roman" w:cs="Times New Roman"/>
          <w:szCs w:val="22"/>
          <w:highlight w:val="none"/>
        </w:rPr>
        <w:t>至</w:t>
      </w:r>
      <w:r>
        <w:rPr>
          <w:rFonts w:hint="eastAsia" w:ascii="Times New Roman" w:hAnsi="Times New Roman" w:cs="Times New Roman"/>
          <w:szCs w:val="22"/>
          <w:highlight w:val="none"/>
          <w:u w:val="single"/>
          <w:lang w:val="en-US" w:eastAsia="zh-CN"/>
        </w:rPr>
        <w:t>深圳市光明区宝新科技园4#B座907室</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rPr>
        <w:t>。</w:t>
      </w:r>
    </w:p>
    <w:p>
      <w:pPr>
        <w:pStyle w:val="5"/>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响应文件启封</w:t>
      </w:r>
    </w:p>
    <w:p>
      <w:pPr>
        <w:snapToGrid w:val="0"/>
        <w:spacing w:line="440" w:lineRule="exact"/>
        <w:ind w:firstLine="420" w:firstLineChars="200"/>
        <w:rPr>
          <w:rFonts w:ascii="Times New Roman" w:hAnsi="Times New Roman" w:eastAsia="宋体" w:cs="Times New Roman"/>
          <w:szCs w:val="22"/>
          <w:highlight w:val="none"/>
        </w:rPr>
      </w:pPr>
      <w:r>
        <w:rPr>
          <w:rFonts w:hint="eastAsia" w:ascii="Times New Roman" w:hAnsi="Times New Roman" w:cs="Times New Roman"/>
          <w:szCs w:val="22"/>
          <w:highlight w:val="none"/>
        </w:rPr>
        <w:t>采购人将于</w:t>
      </w:r>
      <w:r>
        <w:rPr>
          <w:rFonts w:ascii="Times New Roman" w:hAnsi="Times New Roman" w:cs="Times New Roman"/>
          <w:szCs w:val="22"/>
          <w:highlight w:val="none"/>
        </w:rPr>
        <w:t>响应文件的递交截止时间</w:t>
      </w:r>
      <w:r>
        <w:rPr>
          <w:rFonts w:hint="eastAsia" w:ascii="Times New Roman" w:hAnsi="Times New Roman" w:cs="Times New Roman"/>
          <w:szCs w:val="22"/>
          <w:highlight w:val="none"/>
        </w:rPr>
        <w:t>的同一时间</w:t>
      </w:r>
      <w:r>
        <w:rPr>
          <w:rFonts w:ascii="Times New Roman" w:hAnsi="Times New Roman" w:cs="Times New Roman"/>
          <w:szCs w:val="22"/>
          <w:highlight w:val="none"/>
        </w:rPr>
        <w:t>，于</w:t>
      </w:r>
      <w:r>
        <w:rPr>
          <w:rFonts w:hint="eastAsia" w:ascii="Times New Roman" w:hAnsi="Times New Roman" w:cs="Times New Roman"/>
          <w:szCs w:val="22"/>
          <w:highlight w:val="none"/>
          <w:u w:val="single"/>
          <w:lang w:val="en-US" w:eastAsia="zh-CN"/>
        </w:rPr>
        <w:t>深圳市光明区宝新科技园4#B座907室</w:t>
      </w:r>
      <w:r>
        <w:rPr>
          <w:rFonts w:hint="eastAsia" w:ascii="Times New Roman" w:hAnsi="Times New Roman" w:cs="Times New Roman"/>
          <w:szCs w:val="22"/>
          <w:highlight w:val="none"/>
          <w:u w:val="single"/>
        </w:rPr>
        <w:t>会议室</w:t>
      </w:r>
      <w:r>
        <w:rPr>
          <w:rFonts w:ascii="Times New Roman" w:hAnsi="Times New Roman" w:cs="Times New Roman"/>
          <w:szCs w:val="22"/>
          <w:highlight w:val="none"/>
        </w:rPr>
        <w:t>组织进行响应文件的启封。供应商的法定代表人或授权代理人应携带本人身份证</w:t>
      </w:r>
      <w:r>
        <w:rPr>
          <w:rFonts w:hint="eastAsia" w:ascii="Times New Roman" w:hAnsi="Times New Roman" w:cs="Times New Roman"/>
          <w:szCs w:val="22"/>
          <w:highlight w:val="none"/>
        </w:rPr>
        <w:t>、授权代理人应携带授权委托书</w:t>
      </w:r>
      <w:r>
        <w:rPr>
          <w:rFonts w:ascii="Times New Roman" w:hAnsi="Times New Roman" w:cs="Times New Roman"/>
          <w:szCs w:val="22"/>
          <w:highlight w:val="none"/>
        </w:rPr>
        <w:t>准时参加启封会议。</w:t>
      </w:r>
    </w:p>
    <w:bookmarkEnd w:id="29"/>
    <w:bookmarkEnd w:id="30"/>
    <w:bookmarkEnd w:id="31"/>
    <w:bookmarkEnd w:id="32"/>
    <w:bookmarkEnd w:id="33"/>
    <w:bookmarkEnd w:id="34"/>
    <w:bookmarkEnd w:id="35"/>
    <w:p>
      <w:pPr>
        <w:pStyle w:val="5"/>
        <w:snapToGrid w:val="0"/>
        <w:spacing w:before="120" w:after="120" w:line="240" w:lineRule="auto"/>
        <w:ind w:firstLine="403"/>
        <w:rPr>
          <w:rFonts w:ascii="Times New Roman" w:hAnsi="Times New Roman" w:eastAsia="黑体" w:cs="Times New Roman"/>
          <w:bCs w:val="0"/>
          <w:sz w:val="22"/>
          <w:szCs w:val="15"/>
          <w:highlight w:val="none"/>
        </w:rPr>
      </w:pPr>
      <w:bookmarkStart w:id="36" w:name="_Toc525632591"/>
      <w:bookmarkStart w:id="37" w:name="_Toc22719"/>
      <w:r>
        <w:rPr>
          <w:rFonts w:hint="eastAsia" w:ascii="Times New Roman" w:hAnsi="Times New Roman" w:eastAsia="黑体" w:cs="Times New Roman"/>
          <w:bCs w:val="0"/>
          <w:sz w:val="22"/>
          <w:szCs w:val="15"/>
          <w:highlight w:val="none"/>
        </w:rPr>
        <w:t>响应保证金</w:t>
      </w:r>
    </w:p>
    <w:p>
      <w:pPr>
        <w:snapToGrid w:val="0"/>
        <w:spacing w:line="440" w:lineRule="exact"/>
        <w:ind w:firstLine="420" w:firstLineChars="200"/>
        <w:rPr>
          <w:rFonts w:hint="default" w:ascii="Times New Roman" w:hAnsi="Times New Roman" w:eastAsia="宋体"/>
          <w:highlight w:val="none"/>
          <w:u w:val="single"/>
          <w:lang w:val="en-US" w:eastAsia="zh-CN"/>
        </w:rPr>
      </w:pPr>
      <w:r>
        <w:rPr>
          <w:rFonts w:hint="eastAsia" w:ascii="Times New Roman" w:hAnsi="Times New Roman"/>
          <w:highlight w:val="none"/>
        </w:rPr>
        <w:t>响应保证金的金额：</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响应保证金的递交形式：银行转账</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递交账号：</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highlight w:val="none"/>
        </w:rPr>
        <w:t>递交截止时间：</w:t>
      </w:r>
      <w:r>
        <w:rPr>
          <w:rFonts w:hint="eastAsia" w:ascii="Times New Roman" w:hAnsi="Times New Roman"/>
          <w:highlight w:val="none"/>
          <w:u w:val="single"/>
          <w:lang w:val="en-US" w:eastAsia="zh-CN"/>
        </w:rPr>
        <w:t xml:space="preserve">    /      </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highlight w:val="none"/>
        </w:rPr>
      </w:pPr>
      <w:r>
        <w:rPr>
          <w:rFonts w:hint="eastAsia" w:ascii="Times New Roman" w:hAnsi="Times New Roman"/>
          <w:highlight w:val="none"/>
        </w:rPr>
        <w:t>供应商</w:t>
      </w:r>
      <w:r>
        <w:rPr>
          <w:rFonts w:ascii="Times New Roman" w:hAnsi="Times New Roman" w:cs="Times New Roman"/>
          <w:szCs w:val="22"/>
          <w:highlight w:val="none"/>
        </w:rPr>
        <w:t>完成</w:t>
      </w:r>
      <w:r>
        <w:rPr>
          <w:rFonts w:hint="eastAsia" w:ascii="Times New Roman" w:hAnsi="Times New Roman"/>
          <w:highlight w:val="none"/>
        </w:rPr>
        <w:t>转账的银行账户名称应与供应商的单位名称一致</w:t>
      </w:r>
      <w:r>
        <w:rPr>
          <w:rFonts w:hint="eastAsia"/>
          <w:highlight w:val="none"/>
        </w:rPr>
        <w:t>。</w:t>
      </w:r>
    </w:p>
    <w:p>
      <w:pPr>
        <w:pStyle w:val="5"/>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发布公告的媒介</w:t>
      </w:r>
      <w:bookmarkEnd w:id="36"/>
      <w:bookmarkEnd w:id="37"/>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本次采购公告在</w:t>
      </w:r>
      <w:r>
        <w:rPr>
          <w:rFonts w:hint="eastAsia" w:ascii="Times New Roman" w:hAnsi="Times New Roman" w:cs="Times New Roman"/>
          <w:szCs w:val="22"/>
          <w:highlight w:val="none"/>
          <w:u w:val="single"/>
        </w:rPr>
        <w:t>安徽安联高速公路有限公司官网</w:t>
      </w:r>
      <w:r>
        <w:rPr>
          <w:rFonts w:ascii="Times New Roman" w:hAnsi="Times New Roman" w:cs="Times New Roman"/>
          <w:szCs w:val="22"/>
          <w:highlight w:val="none"/>
        </w:rPr>
        <w:t>上发布。</w:t>
      </w:r>
    </w:p>
    <w:p>
      <w:pPr>
        <w:pStyle w:val="5"/>
        <w:snapToGrid w:val="0"/>
        <w:spacing w:before="120" w:after="120" w:line="240" w:lineRule="auto"/>
        <w:ind w:firstLine="403"/>
        <w:rPr>
          <w:rFonts w:ascii="Times New Roman" w:hAnsi="Times New Roman" w:eastAsia="黑体" w:cs="Times New Roman"/>
          <w:bCs w:val="0"/>
          <w:sz w:val="22"/>
          <w:szCs w:val="15"/>
          <w:highlight w:val="none"/>
        </w:rPr>
      </w:pPr>
      <w:bookmarkStart w:id="38" w:name="_Toc321_WPSOffice_Level2"/>
      <w:bookmarkStart w:id="39" w:name="_Toc8501"/>
      <w:bookmarkStart w:id="40" w:name="_Toc20572_WPSOffice_Level2"/>
      <w:bookmarkStart w:id="41" w:name="_Toc525632592"/>
      <w:bookmarkStart w:id="42" w:name="_Toc14943_WPSOffice_Level2"/>
      <w:bookmarkStart w:id="43" w:name="_Toc26829"/>
      <w:bookmarkStart w:id="44" w:name="_Toc28571_WPSOffice_Level2"/>
      <w:r>
        <w:rPr>
          <w:rFonts w:ascii="Times New Roman" w:hAnsi="Times New Roman" w:eastAsia="黑体" w:cs="Times New Roman"/>
          <w:bCs w:val="0"/>
          <w:sz w:val="22"/>
          <w:szCs w:val="15"/>
          <w:highlight w:val="none"/>
        </w:rPr>
        <w:t>采购人联系方式</w:t>
      </w:r>
      <w:bookmarkEnd w:id="38"/>
      <w:bookmarkEnd w:id="39"/>
      <w:bookmarkEnd w:id="40"/>
      <w:bookmarkEnd w:id="41"/>
      <w:bookmarkEnd w:id="42"/>
      <w:bookmarkEnd w:id="43"/>
      <w:bookmarkEnd w:id="44"/>
    </w:p>
    <w:p>
      <w:pPr>
        <w:spacing w:line="440" w:lineRule="exact"/>
        <w:ind w:firstLine="420" w:firstLineChars="200"/>
        <w:rPr>
          <w:rFonts w:hint="eastAsia" w:ascii="Times New Roman" w:hAnsi="Times New Roman" w:cs="Times New Roman"/>
          <w:szCs w:val="22"/>
          <w:highlight w:val="none"/>
          <w:u w:val="single"/>
        </w:rPr>
      </w:pPr>
      <w:r>
        <w:rPr>
          <w:rFonts w:ascii="Times New Roman" w:hAnsi="Times New Roman" w:cs="Times New Roman"/>
          <w:szCs w:val="22"/>
          <w:highlight w:val="none"/>
        </w:rPr>
        <w:t>采 购</w:t>
      </w:r>
      <w:r>
        <w:rPr>
          <w:rFonts w:hint="eastAsia" w:ascii="Times New Roman" w:hAnsi="Times New Roman" w:cs="Times New Roman"/>
          <w:szCs w:val="22"/>
          <w:highlight w:val="none"/>
          <w:lang w:val="en-US" w:eastAsia="zh-CN"/>
        </w:rPr>
        <w:t xml:space="preserve"> </w:t>
      </w:r>
      <w:r>
        <w:rPr>
          <w:rFonts w:ascii="Times New Roman" w:hAnsi="Times New Roman" w:cs="Times New Roman"/>
          <w:szCs w:val="22"/>
          <w:highlight w:val="none"/>
        </w:rPr>
        <w:t>人：</w:t>
      </w:r>
      <w:r>
        <w:rPr>
          <w:rFonts w:hint="eastAsia" w:ascii="Times New Roman" w:hAnsi="Times New Roman" w:cs="Times New Roman"/>
          <w:szCs w:val="22"/>
          <w:highlight w:val="none"/>
          <w:u w:val="single"/>
        </w:rPr>
        <w:t xml:space="preserve"> 深圳市安之联置业有限公司 </w:t>
      </w:r>
    </w:p>
    <w:p>
      <w:pPr>
        <w:spacing w:line="440" w:lineRule="exact"/>
        <w:ind w:firstLine="420" w:firstLineChars="200"/>
        <w:rPr>
          <w:rFonts w:hint="eastAsia" w:ascii="Times New Roman" w:hAnsi="Times New Roman" w:cs="Times New Roman"/>
          <w:szCs w:val="22"/>
          <w:highlight w:val="none"/>
          <w:u w:val="single"/>
        </w:rPr>
      </w:pPr>
      <w:r>
        <w:rPr>
          <w:rFonts w:hint="eastAsia" w:ascii="Times New Roman" w:hAnsi="Times New Roman" w:cs="Times New Roman"/>
          <w:szCs w:val="22"/>
          <w:highlight w:val="none"/>
          <w:u w:val="none"/>
        </w:rPr>
        <w:t xml:space="preserve">地   </w:t>
      </w:r>
      <w:r>
        <w:rPr>
          <w:rFonts w:hint="eastAsia" w:ascii="Times New Roman" w:hAnsi="Times New Roman" w:cs="Times New Roman"/>
          <w:szCs w:val="22"/>
          <w:highlight w:val="none"/>
          <w:u w:val="none"/>
          <w:lang w:val="en-US" w:eastAsia="zh-CN"/>
        </w:rPr>
        <w:t xml:space="preserve"> </w:t>
      </w:r>
      <w:r>
        <w:rPr>
          <w:rFonts w:hint="eastAsia" w:ascii="Times New Roman" w:hAnsi="Times New Roman" w:cs="Times New Roman"/>
          <w:szCs w:val="22"/>
          <w:highlight w:val="none"/>
          <w:u w:val="none"/>
        </w:rPr>
        <w:t>址：</w:t>
      </w:r>
      <w:r>
        <w:rPr>
          <w:rFonts w:hint="eastAsia" w:ascii="Times New Roman" w:hAnsi="Times New Roman" w:cs="Times New Roman"/>
          <w:szCs w:val="22"/>
          <w:highlight w:val="none"/>
          <w:u w:val="single"/>
        </w:rPr>
        <w:t xml:space="preserve"> 深圳市光明区观光路宝新科技园B座907室 </w:t>
      </w:r>
    </w:p>
    <w:p>
      <w:pPr>
        <w:spacing w:line="440" w:lineRule="exact"/>
        <w:ind w:firstLine="420" w:firstLineChars="200"/>
        <w:rPr>
          <w:rFonts w:hint="eastAsia" w:ascii="Times New Roman" w:hAnsi="Times New Roman" w:cs="Times New Roman"/>
          <w:szCs w:val="22"/>
          <w:highlight w:val="none"/>
          <w:u w:val="single"/>
        </w:rPr>
      </w:pPr>
      <w:r>
        <w:rPr>
          <w:rFonts w:hint="eastAsia" w:ascii="Times New Roman" w:hAnsi="Times New Roman" w:cs="Times New Roman"/>
          <w:szCs w:val="22"/>
          <w:highlight w:val="none"/>
          <w:u w:val="none"/>
        </w:rPr>
        <w:t>邮政编码：</w:t>
      </w:r>
      <w:r>
        <w:rPr>
          <w:rFonts w:hint="eastAsia" w:ascii="Times New Roman" w:hAnsi="Times New Roman" w:cs="Times New Roman"/>
          <w:szCs w:val="22"/>
          <w:highlight w:val="none"/>
          <w:u w:val="single"/>
        </w:rPr>
        <w:t xml:space="preserve"> 518107</w:t>
      </w:r>
    </w:p>
    <w:p>
      <w:pPr>
        <w:spacing w:line="440" w:lineRule="exact"/>
        <w:ind w:firstLine="420" w:firstLineChars="200"/>
        <w:rPr>
          <w:rFonts w:hint="eastAsia" w:ascii="Times New Roman" w:hAnsi="Times New Roman" w:cs="Times New Roman"/>
          <w:szCs w:val="22"/>
          <w:highlight w:val="none"/>
          <w:u w:val="single"/>
        </w:rPr>
      </w:pPr>
      <w:r>
        <w:rPr>
          <w:rFonts w:hint="eastAsia" w:ascii="Times New Roman" w:hAnsi="Times New Roman" w:cs="Times New Roman"/>
          <w:szCs w:val="22"/>
          <w:highlight w:val="none"/>
          <w:u w:val="none"/>
        </w:rPr>
        <w:t>联 系</w:t>
      </w:r>
      <w:r>
        <w:rPr>
          <w:rFonts w:hint="eastAsia" w:ascii="Times New Roman" w:hAnsi="Times New Roman" w:cs="Times New Roman"/>
          <w:szCs w:val="22"/>
          <w:highlight w:val="none"/>
          <w:u w:val="none"/>
          <w:lang w:val="en-US" w:eastAsia="zh-CN"/>
        </w:rPr>
        <w:t xml:space="preserve"> </w:t>
      </w:r>
      <w:r>
        <w:rPr>
          <w:rFonts w:hint="eastAsia" w:ascii="Times New Roman" w:hAnsi="Times New Roman" w:cs="Times New Roman"/>
          <w:szCs w:val="22"/>
          <w:highlight w:val="none"/>
          <w:u w:val="none"/>
        </w:rPr>
        <w:t>人：</w:t>
      </w:r>
      <w:r>
        <w:rPr>
          <w:rFonts w:hint="eastAsia" w:ascii="Times New Roman" w:hAnsi="Times New Roman" w:cs="Times New Roman"/>
          <w:szCs w:val="22"/>
          <w:highlight w:val="none"/>
          <w:u w:val="single"/>
        </w:rPr>
        <w:t>杨工</w:t>
      </w:r>
    </w:p>
    <w:p>
      <w:pPr>
        <w:spacing w:line="440" w:lineRule="exact"/>
        <w:ind w:firstLine="420" w:firstLineChars="200"/>
        <w:rPr>
          <w:rFonts w:hint="eastAsia" w:ascii="Times New Roman" w:hAnsi="Times New Roman" w:cs="Times New Roman"/>
          <w:szCs w:val="22"/>
          <w:highlight w:val="none"/>
          <w:u w:val="single"/>
        </w:rPr>
      </w:pPr>
      <w:r>
        <w:rPr>
          <w:rFonts w:hint="eastAsia" w:ascii="Times New Roman" w:hAnsi="Times New Roman" w:cs="Times New Roman"/>
          <w:szCs w:val="22"/>
          <w:highlight w:val="none"/>
          <w:u w:val="none"/>
        </w:rPr>
        <w:t xml:space="preserve">电   </w:t>
      </w:r>
      <w:r>
        <w:rPr>
          <w:rFonts w:hint="eastAsia" w:ascii="Times New Roman" w:hAnsi="Times New Roman" w:cs="Times New Roman"/>
          <w:szCs w:val="22"/>
          <w:highlight w:val="none"/>
          <w:u w:val="none"/>
          <w:lang w:val="en-US" w:eastAsia="zh-CN"/>
        </w:rPr>
        <w:t xml:space="preserve"> </w:t>
      </w:r>
      <w:r>
        <w:rPr>
          <w:rFonts w:hint="eastAsia" w:ascii="Times New Roman" w:hAnsi="Times New Roman" w:cs="Times New Roman"/>
          <w:szCs w:val="22"/>
          <w:highlight w:val="none"/>
          <w:u w:val="none"/>
        </w:rPr>
        <w:t>话：</w:t>
      </w:r>
      <w:r>
        <w:rPr>
          <w:rFonts w:hint="eastAsia" w:ascii="Times New Roman" w:hAnsi="Times New Roman" w:cs="Times New Roman"/>
          <w:szCs w:val="22"/>
          <w:highlight w:val="none"/>
          <w:u w:val="single"/>
        </w:rPr>
        <w:t>15705591760</w:t>
      </w:r>
    </w:p>
    <w:p>
      <w:pPr>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u w:val="none"/>
        </w:rPr>
        <w:t>电子邮箱：</w:t>
      </w:r>
      <w:r>
        <w:rPr>
          <w:rFonts w:hint="eastAsia" w:ascii="Times New Roman" w:hAnsi="Times New Roman" w:cs="Times New Roman"/>
          <w:szCs w:val="22"/>
          <w:highlight w:val="none"/>
          <w:u w:val="single"/>
        </w:rPr>
        <w:t>214581591@qq.com</w:t>
      </w:r>
      <w:r>
        <w:rPr>
          <w:rFonts w:ascii="Times New Roman" w:hAnsi="Times New Roman" w:cs="Times New Roman"/>
          <w:szCs w:val="22"/>
          <w:highlight w:val="none"/>
          <w:u w:val="single"/>
        </w:rPr>
        <w:t xml:space="preserve">  </w:t>
      </w:r>
    </w:p>
    <w:p>
      <w:pPr>
        <w:pStyle w:val="3"/>
        <w:jc w:val="center"/>
        <w:rPr>
          <w:rFonts w:hint="default" w:ascii="Times New Roman" w:hAnsi="Times New Roman"/>
          <w:color w:val="auto"/>
          <w:sz w:val="21"/>
          <w:szCs w:val="22"/>
          <w:highlight w:val="none"/>
        </w:rPr>
      </w:pPr>
      <w:r>
        <w:rPr>
          <w:rFonts w:hint="default" w:ascii="Times New Roman" w:hAnsi="Times New Roman"/>
          <w:color w:val="auto"/>
          <w:sz w:val="21"/>
          <w:szCs w:val="22"/>
          <w:highlight w:val="none"/>
        </w:rPr>
        <w:t xml:space="preserve">                                          </w:t>
      </w:r>
    </w:p>
    <w:p>
      <w:pPr>
        <w:pStyle w:val="3"/>
        <w:jc w:val="right"/>
        <w:rPr>
          <w:rFonts w:hint="default" w:ascii="Times New Roman" w:hAnsi="Times New Roman"/>
          <w:color w:val="auto"/>
          <w:sz w:val="21"/>
          <w:szCs w:val="22"/>
          <w:highlight w:val="none"/>
        </w:rPr>
      </w:pPr>
    </w:p>
    <w:p>
      <w:pPr>
        <w:pStyle w:val="3"/>
        <w:jc w:val="right"/>
        <w:rPr>
          <w:rFonts w:hint="default" w:ascii="Times New Roman" w:hAnsi="Times New Roman"/>
          <w:color w:val="auto"/>
          <w:szCs w:val="28"/>
          <w:highlight w:val="none"/>
        </w:rPr>
      </w:pPr>
      <w:r>
        <w:rPr>
          <w:rFonts w:hint="eastAsia" w:ascii="Times New Roman" w:hAnsi="Times New Roman"/>
          <w:color w:val="auto"/>
          <w:sz w:val="21"/>
          <w:szCs w:val="22"/>
          <w:highlight w:val="none"/>
          <w:lang w:val="en-US" w:eastAsia="zh-CN"/>
        </w:rPr>
        <w:t xml:space="preserve">2023 </w:t>
      </w:r>
      <w:r>
        <w:rPr>
          <w:rFonts w:hint="default" w:ascii="Times New Roman" w:hAnsi="Times New Roman"/>
          <w:color w:val="auto"/>
          <w:sz w:val="21"/>
          <w:szCs w:val="22"/>
          <w:highlight w:val="none"/>
        </w:rPr>
        <w:t>年</w:t>
      </w:r>
      <w:r>
        <w:rPr>
          <w:rFonts w:hint="eastAsia" w:ascii="Times New Roman" w:hAnsi="Times New Roman"/>
          <w:color w:val="auto"/>
          <w:sz w:val="21"/>
          <w:szCs w:val="22"/>
          <w:highlight w:val="none"/>
          <w:lang w:val="en-US" w:eastAsia="zh-CN"/>
        </w:rPr>
        <w:t xml:space="preserve"> 6 </w:t>
      </w:r>
      <w:r>
        <w:rPr>
          <w:rFonts w:hint="default" w:ascii="Times New Roman" w:hAnsi="Times New Roman"/>
          <w:color w:val="auto"/>
          <w:sz w:val="21"/>
          <w:szCs w:val="22"/>
          <w:highlight w:val="none"/>
        </w:rPr>
        <w:t>月</w:t>
      </w:r>
      <w:r>
        <w:rPr>
          <w:rFonts w:hint="eastAsia" w:ascii="Times New Roman" w:hAnsi="Times New Roman"/>
          <w:color w:val="auto"/>
          <w:sz w:val="21"/>
          <w:szCs w:val="22"/>
          <w:highlight w:val="none"/>
          <w:lang w:val="en-US" w:eastAsia="zh-CN"/>
        </w:rPr>
        <w:t xml:space="preserve"> 1 </w:t>
      </w:r>
      <w:r>
        <w:rPr>
          <w:rFonts w:hint="default" w:ascii="Times New Roman" w:hAnsi="Times New Roman"/>
          <w:color w:val="auto"/>
          <w:sz w:val="21"/>
          <w:szCs w:val="22"/>
          <w:highlight w:val="none"/>
        </w:rPr>
        <w:t>日</w:t>
      </w:r>
    </w:p>
    <w:p>
      <w:pPr>
        <w:pStyle w:val="4"/>
        <w:numPr>
          <w:ilvl w:val="0"/>
          <w:numId w:val="0"/>
        </w:numPr>
        <w:spacing w:beforeLines="0" w:afterLines="0"/>
        <w:ind w:leftChars="0"/>
        <w:rPr>
          <w:rFonts w:ascii="Times New Roman" w:hAnsi="Times New Roman" w:eastAsia="宋体" w:cs="Times New Roman"/>
          <w:highlight w:val="none"/>
        </w:rPr>
      </w:pPr>
      <w:r>
        <w:rPr>
          <w:rFonts w:ascii="Times New Roman" w:hAnsi="Times New Roman" w:cs="Times New Roman"/>
          <w:sz w:val="24"/>
          <w:szCs w:val="28"/>
          <w:highlight w:val="none"/>
        </w:rPr>
        <w:br w:type="page"/>
      </w:r>
      <w:bookmarkStart w:id="45" w:name="_Toc13339_WPSOffice_Level1"/>
      <w:r>
        <w:rPr>
          <w:rFonts w:hint="eastAsia" w:ascii="Times New Roman" w:hAnsi="Times New Roman" w:eastAsia="宋体" w:cs="Times New Roman"/>
          <w:highlight w:val="none"/>
          <w:lang w:val="en-US" w:eastAsia="zh-CN"/>
        </w:rPr>
        <w:t xml:space="preserve">第二章 </w:t>
      </w:r>
      <w:r>
        <w:rPr>
          <w:rFonts w:ascii="Times New Roman" w:hAnsi="Times New Roman" w:eastAsia="宋体" w:cs="Times New Roman"/>
          <w:highlight w:val="none"/>
        </w:rPr>
        <w:t>供应商须知</w:t>
      </w:r>
      <w:bookmarkEnd w:id="45"/>
    </w:p>
    <w:p>
      <w:pPr>
        <w:spacing w:line="440" w:lineRule="exact"/>
        <w:jc w:val="center"/>
        <w:outlineLvl w:val="1"/>
        <w:rPr>
          <w:rFonts w:ascii="Times New Roman" w:hAnsi="Times New Roman" w:eastAsia="黑体" w:cs="Times New Roman"/>
          <w:sz w:val="28"/>
          <w:szCs w:val="28"/>
          <w:highlight w:val="none"/>
        </w:rPr>
      </w:pPr>
      <w:bookmarkStart w:id="46" w:name="_Toc29381_WPSOffice_Level2"/>
      <w:bookmarkStart w:id="47" w:name="_Toc19501"/>
      <w:bookmarkStart w:id="48" w:name="_Toc16069"/>
      <w:bookmarkStart w:id="49" w:name="_Toc55466811"/>
      <w:bookmarkStart w:id="50" w:name="_Toc26656928"/>
      <w:bookmarkStart w:id="51" w:name="_Toc9067720"/>
      <w:bookmarkStart w:id="52" w:name="_Toc26656938"/>
      <w:bookmarkStart w:id="53" w:name="_Toc14201207"/>
      <w:r>
        <w:rPr>
          <w:rFonts w:ascii="Times New Roman" w:hAnsi="Times New Roman" w:eastAsia="黑体" w:cs="Times New Roman"/>
          <w:sz w:val="28"/>
          <w:szCs w:val="28"/>
          <w:highlight w:val="none"/>
        </w:rPr>
        <w:t>供应商须知前附表</w:t>
      </w:r>
      <w:bookmarkEnd w:id="46"/>
      <w:bookmarkEnd w:id="47"/>
      <w:bookmarkEnd w:id="48"/>
      <w:bookmarkEnd w:id="49"/>
      <w:bookmarkEnd w:id="50"/>
    </w:p>
    <w:tbl>
      <w:tblPr>
        <w:tblStyle w:val="25"/>
        <w:tblpPr w:leftFromText="180" w:rightFromText="180" w:vertAnchor="text" w:horzAnchor="page" w:tblpX="1811" w:tblpY="49"/>
        <w:tblOverlap w:val="never"/>
        <w:tblW w:w="8978" w:type="dxa"/>
        <w:tblInd w:w="0" w:type="dxa"/>
        <w:tblLayout w:type="fixed"/>
        <w:tblCellMar>
          <w:top w:w="0" w:type="dxa"/>
          <w:left w:w="108" w:type="dxa"/>
          <w:bottom w:w="0" w:type="dxa"/>
          <w:right w:w="108" w:type="dxa"/>
        </w:tblCellMar>
      </w:tblPr>
      <w:tblGrid>
        <w:gridCol w:w="1004"/>
        <w:gridCol w:w="2587"/>
        <w:gridCol w:w="5387"/>
      </w:tblGrid>
      <w:tr>
        <w:tblPrEx>
          <w:tblCellMar>
            <w:top w:w="0" w:type="dxa"/>
            <w:left w:w="108" w:type="dxa"/>
            <w:bottom w:w="0" w:type="dxa"/>
            <w:right w:w="108" w:type="dxa"/>
          </w:tblCellMar>
        </w:tblPrEx>
        <w:trPr>
          <w:trHeight w:val="392"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条款号</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  款  名  称</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编  列  内  容</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1.</w:t>
            </w:r>
            <w:r>
              <w:rPr>
                <w:rFonts w:hint="eastAsia" w:ascii="Times New Roman" w:hAnsi="Times New Roman" w:eastAsia="宋体" w:cs="Times New Roman"/>
                <w:szCs w:val="21"/>
                <w:highlight w:val="none"/>
              </w:rPr>
              <w:t>1</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质量要求</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lang w:val="en-US" w:eastAsia="zh-CN"/>
              </w:rPr>
              <w:t>合格</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1.2.2</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供应商其他资格要求</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default" w:ascii="Times New Roman" w:hAnsi="Times New Roman" w:eastAsia="宋体" w:cs="Times New Roman"/>
                <w:kern w:val="0"/>
                <w:szCs w:val="21"/>
                <w:highlight w:val="none"/>
                <w:lang w:val="en-US" w:eastAsia="zh-CN"/>
              </w:rPr>
            </w:pPr>
            <w:r>
              <w:rPr>
                <w:rFonts w:hint="eastAsia" w:ascii="Times New Roman" w:hAnsi="Times New Roman" w:cs="Times New Roman"/>
                <w:kern w:val="0"/>
                <w:szCs w:val="21"/>
                <w:highlight w:val="none"/>
                <w:lang w:val="en-US" w:eastAsia="zh-CN"/>
              </w:rPr>
              <w:t>无</w:t>
            </w:r>
          </w:p>
        </w:tc>
      </w:tr>
      <w:tr>
        <w:tblPrEx>
          <w:tblCellMar>
            <w:top w:w="0" w:type="dxa"/>
            <w:left w:w="108" w:type="dxa"/>
            <w:bottom w:w="0" w:type="dxa"/>
            <w:right w:w="108" w:type="dxa"/>
          </w:tblCellMar>
        </w:tblPrEx>
        <w:trPr>
          <w:trHeight w:val="497"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3.1</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响应文件其他材料要求</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响应单位认为有必要提供的其他说明或声明等资料。</w:t>
            </w:r>
          </w:p>
        </w:tc>
      </w:tr>
      <w:tr>
        <w:tblPrEx>
          <w:tblCellMar>
            <w:top w:w="0" w:type="dxa"/>
            <w:left w:w="108" w:type="dxa"/>
            <w:bottom w:w="0" w:type="dxa"/>
            <w:right w:w="108" w:type="dxa"/>
          </w:tblCellMar>
        </w:tblPrEx>
        <w:trPr>
          <w:trHeight w:val="522"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3.2.</w:t>
            </w:r>
            <w:r>
              <w:rPr>
                <w:rFonts w:hint="eastAsia" w:ascii="Times New Roman" w:hAnsi="Times New Roman" w:eastAsia="宋体" w:cs="Times New Roman"/>
                <w:szCs w:val="21"/>
                <w:highlight w:val="none"/>
              </w:rPr>
              <w:t>4</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报价方式</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单价</w:t>
            </w:r>
            <w:r>
              <w:rPr>
                <w:rFonts w:hint="eastAsia" w:ascii="Times New Roman" w:hAnsi="Times New Roman" w:eastAsia="宋体" w:cs="Times New Roman"/>
                <w:szCs w:val="21"/>
                <w:highlight w:val="none"/>
                <w:lang w:val="en-US" w:eastAsia="zh-CN"/>
              </w:rPr>
              <w:t xml:space="preserve">     </w:t>
            </w:r>
            <w:r>
              <w:rPr>
                <w:rFonts w:hint="eastAsia" w:ascii="Times New Roman" w:hAnsi="Times New Roman" w:eastAsia="宋体" w:cs="Times New Roman"/>
                <w:szCs w:val="21"/>
                <w:highlight w:val="none"/>
              </w:rPr>
              <w:sym w:font="Wingdings 2" w:char="0052"/>
            </w:r>
            <w:r>
              <w:rPr>
                <w:rFonts w:ascii="Times New Roman" w:hAnsi="Times New Roman" w:eastAsia="宋体" w:cs="Times New Roman"/>
                <w:szCs w:val="21"/>
                <w:highlight w:val="none"/>
              </w:rPr>
              <w:t>总价</w:t>
            </w:r>
          </w:p>
        </w:tc>
      </w:tr>
      <w:tr>
        <w:tblPrEx>
          <w:tblCellMar>
            <w:top w:w="0" w:type="dxa"/>
            <w:left w:w="108" w:type="dxa"/>
            <w:bottom w:w="0" w:type="dxa"/>
            <w:right w:w="108" w:type="dxa"/>
          </w:tblCellMar>
        </w:tblPrEx>
        <w:trPr>
          <w:trHeight w:val="522"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rPr>
              <w:t>3.2.</w:t>
            </w:r>
            <w:r>
              <w:rPr>
                <w:rFonts w:hint="eastAsia" w:ascii="Times New Roman" w:hAnsi="Times New Roman" w:cs="Times New Roman"/>
                <w:szCs w:val="21"/>
                <w:highlight w:val="none"/>
                <w:lang w:val="en-US" w:eastAsia="zh-CN"/>
              </w:rPr>
              <w:t>5</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报价的其他要求</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同一供应商不得递交两个以上不同的报价。</w:t>
            </w:r>
            <w:r>
              <w:rPr>
                <w:rFonts w:hint="eastAsia" w:ascii="Times New Roman" w:hAnsi="Times New Roman" w:cs="Times New Roman"/>
                <w:szCs w:val="21"/>
                <w:highlight w:val="none"/>
                <w:lang w:val="en-US" w:eastAsia="zh-CN"/>
              </w:rPr>
              <w:t>报价应</w:t>
            </w:r>
            <w:r>
              <w:rPr>
                <w:rFonts w:hint="eastAsia" w:ascii="Times New Roman" w:hAnsi="Times New Roman" w:eastAsia="宋体" w:cs="Times New Roman"/>
                <w:szCs w:val="21"/>
                <w:highlight w:val="none"/>
              </w:rPr>
              <w:t>包含但不限于合同约定的所有服务的费用及配合费用（包括但不限于劳务费、应缴纳的税费、为完成本科技项目工作所需的行政、通讯费用、工作人员的薪金、奖金、福利、交通、食宿、加班以及到现场人员差旅食宿费等所有费用）。</w:t>
            </w:r>
          </w:p>
        </w:tc>
      </w:tr>
      <w:tr>
        <w:tblPrEx>
          <w:tblCellMar>
            <w:top w:w="0" w:type="dxa"/>
            <w:left w:w="108" w:type="dxa"/>
            <w:bottom w:w="0" w:type="dxa"/>
            <w:right w:w="108" w:type="dxa"/>
          </w:tblCellMar>
        </w:tblPrEx>
        <w:trPr>
          <w:trHeight w:val="2567"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3.4.4</w:t>
            </w:r>
            <w:r>
              <w:rPr>
                <w:rFonts w:hint="eastAsia" w:ascii="Times New Roman" w:hAnsi="Times New Roman" w:eastAsia="宋体" w:cs="Times New Roman"/>
                <w:szCs w:val="21"/>
                <w:highlight w:val="none"/>
              </w:rPr>
              <w:t>（3）</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cs="Times New Roman"/>
                <w:highlight w:val="none"/>
              </w:rPr>
              <w:t>其他不予退还响应保证金的情形</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cs="Times New Roman"/>
                <w:highlight w:val="none"/>
              </w:rPr>
            </w:pPr>
            <w:r>
              <w:rPr>
                <w:rFonts w:ascii="Times New Roman" w:hAnsi="Times New Roman" w:cs="Times New Roman"/>
                <w:highlight w:val="none"/>
              </w:rPr>
              <w:t>（1）供应商在规定的响应有效期内撤销其响应文件；</w:t>
            </w:r>
          </w:p>
          <w:p>
            <w:pPr>
              <w:spacing w:line="480" w:lineRule="exact"/>
              <w:rPr>
                <w:rFonts w:ascii="Times New Roman" w:hAnsi="Times New Roman" w:eastAsia="宋体" w:cs="Times New Roman"/>
                <w:szCs w:val="21"/>
                <w:highlight w:val="none"/>
              </w:rPr>
            </w:pPr>
            <w:r>
              <w:rPr>
                <w:rFonts w:ascii="Times New Roman" w:hAnsi="Times New Roman" w:cs="Times New Roman"/>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tc>
      </w:tr>
      <w:tr>
        <w:tblPrEx>
          <w:tblCellMar>
            <w:top w:w="0" w:type="dxa"/>
            <w:left w:w="108" w:type="dxa"/>
            <w:bottom w:w="0" w:type="dxa"/>
            <w:right w:w="108" w:type="dxa"/>
          </w:tblCellMar>
        </w:tblPrEx>
        <w:trPr>
          <w:trHeight w:val="1574"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3.6.3（2）</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cs="Times New Roman"/>
                <w:highlight w:val="none"/>
              </w:rPr>
            </w:pPr>
            <w:r>
              <w:rPr>
                <w:rFonts w:hint="eastAsia" w:ascii="Times New Roman" w:hAnsi="Times New Roman" w:cs="Times New Roman"/>
                <w:highlight w:val="none"/>
              </w:rPr>
              <w:t>响应文件正副本份数</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宋体" w:cs="Times New Roman"/>
                <w:szCs w:val="21"/>
                <w:highlight w:val="none"/>
                <w:u w:val="single"/>
              </w:rPr>
            </w:pPr>
            <w:r>
              <w:rPr>
                <w:rFonts w:hint="eastAsia" w:ascii="Times New Roman" w:hAnsi="Times New Roman" w:eastAsia="宋体" w:cs="Times New Roman"/>
                <w:szCs w:val="21"/>
                <w:highlight w:val="none"/>
                <w:u w:val="single"/>
              </w:rPr>
              <w:t xml:space="preserve"> </w:t>
            </w:r>
            <w:r>
              <w:rPr>
                <w:rFonts w:hint="eastAsia" w:ascii="Times New Roman" w:hAnsi="Times New Roman" w:cs="Times New Roman"/>
                <w:szCs w:val="21"/>
                <w:highlight w:val="none"/>
                <w:u w:val="single"/>
                <w:lang w:val="en-US" w:eastAsia="zh-CN"/>
              </w:rPr>
              <w:t>3</w:t>
            </w:r>
            <w:r>
              <w:rPr>
                <w:rFonts w:hint="eastAsia" w:ascii="Times New Roman" w:hAnsi="Times New Roman" w:eastAsia="宋体" w:cs="Times New Roman"/>
                <w:szCs w:val="21"/>
                <w:highlight w:val="none"/>
                <w:u w:val="single"/>
              </w:rPr>
              <w:t xml:space="preserve"> </w:t>
            </w:r>
            <w:r>
              <w:rPr>
                <w:rFonts w:hint="eastAsia" w:ascii="Times New Roman" w:hAnsi="Times New Roman" w:eastAsia="宋体" w:cs="Times New Roman"/>
                <w:szCs w:val="21"/>
                <w:highlight w:val="none"/>
              </w:rPr>
              <w:t>份（其中正本</w:t>
            </w:r>
            <w:r>
              <w:rPr>
                <w:rFonts w:hint="eastAsia"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rPr>
              <w:t>份，副本</w:t>
            </w:r>
            <w:r>
              <w:rPr>
                <w:rFonts w:hint="eastAsia"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rPr>
              <w:t>份</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lang w:val="en-US" w:eastAsia="zh-CN"/>
              </w:rPr>
              <w:t>响应文件盖章扫描件电子版一份（U盘）</w:t>
            </w:r>
            <w:r>
              <w:rPr>
                <w:rFonts w:hint="eastAsia" w:ascii="Times New Roman" w:hAnsi="Times New Roman" w:eastAsia="宋体" w:cs="Times New Roman"/>
                <w:szCs w:val="21"/>
                <w:highlight w:val="none"/>
              </w:rPr>
              <w:t>），正本和副本的封面右上角上应清楚地标记“正本”或“副本”的字样。当副本和正本不一致时，以正本文件为准。</w:t>
            </w:r>
          </w:p>
        </w:tc>
      </w:tr>
      <w:tr>
        <w:tblPrEx>
          <w:tblCellMar>
            <w:top w:w="0" w:type="dxa"/>
            <w:left w:w="108" w:type="dxa"/>
            <w:bottom w:w="0" w:type="dxa"/>
            <w:right w:w="108" w:type="dxa"/>
          </w:tblCellMar>
        </w:tblPrEx>
        <w:trPr>
          <w:trHeight w:val="432"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5.2.1（3）</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highlight w:val="none"/>
              </w:rPr>
              <w:t>启封公布的其他内容</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ascii="Times New Roman" w:hAnsi="Times New Roman" w:eastAsia="宋体" w:cs="Times New Roman"/>
                <w:szCs w:val="21"/>
                <w:highlight w:val="none"/>
              </w:rPr>
            </w:pPr>
            <w:r>
              <w:rPr>
                <w:rFonts w:hint="eastAsia"/>
                <w:highlight w:val="none"/>
              </w:rPr>
              <w:t>无</w:t>
            </w:r>
          </w:p>
        </w:tc>
      </w:tr>
      <w:tr>
        <w:tblPrEx>
          <w:tblCellMar>
            <w:top w:w="0" w:type="dxa"/>
            <w:left w:w="108" w:type="dxa"/>
            <w:bottom w:w="0" w:type="dxa"/>
            <w:right w:w="108" w:type="dxa"/>
          </w:tblCellMar>
        </w:tblPrEx>
        <w:trPr>
          <w:trHeight w:val="867"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7.4.1</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履约保证金</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Times New Roman" w:hAnsi="Times New Roman" w:eastAsia="宋体" w:cs="Times New Roman"/>
                <w:szCs w:val="21"/>
                <w:highlight w:val="none"/>
                <w:lang w:val="en-US" w:eastAsia="zh-CN"/>
              </w:rPr>
            </w:pPr>
            <w:r>
              <w:rPr>
                <w:rFonts w:ascii="Times New Roman" w:hAnsi="Times New Roman" w:eastAsia="宋体" w:cs="Times New Roman"/>
                <w:szCs w:val="21"/>
                <w:highlight w:val="none"/>
              </w:rPr>
              <w:t>金额：</w:t>
            </w:r>
            <w:r>
              <w:rPr>
                <w:rFonts w:hint="eastAsia" w:ascii="Times New Roman" w:hAnsi="Times New Roman" w:cs="Times New Roman"/>
                <w:szCs w:val="21"/>
                <w:highlight w:val="none"/>
                <w:lang w:val="en-US" w:eastAsia="zh-CN"/>
              </w:rPr>
              <w:t>/</w:t>
            </w:r>
          </w:p>
          <w:p>
            <w:pPr>
              <w:snapToGrid w:val="0"/>
              <w:spacing w:line="480" w:lineRule="exact"/>
              <w:rPr>
                <w:rFonts w:hint="eastAsia" w:ascii="Times New Roman" w:hAnsi="Times New Roman" w:eastAsia="宋体" w:cs="Times New Roman"/>
                <w:szCs w:val="21"/>
                <w:highlight w:val="none"/>
                <w:lang w:eastAsia="zh-CN"/>
              </w:rPr>
            </w:pPr>
            <w:r>
              <w:rPr>
                <w:rFonts w:ascii="Times New Roman" w:hAnsi="Times New Roman" w:eastAsia="宋体" w:cs="Times New Roman"/>
                <w:szCs w:val="21"/>
                <w:highlight w:val="none"/>
              </w:rPr>
              <w:t>形式：</w:t>
            </w:r>
            <w:r>
              <w:rPr>
                <w:rFonts w:hint="eastAsia" w:ascii="Times New Roman" w:hAnsi="Times New Roman" w:cs="Times New Roman"/>
                <w:szCs w:val="21"/>
                <w:highlight w:val="none"/>
                <w:lang w:val="en-US" w:eastAsia="zh-CN"/>
              </w:rPr>
              <w:t>/</w:t>
            </w:r>
          </w:p>
        </w:tc>
      </w:tr>
      <w:tr>
        <w:tblPrEx>
          <w:tblCellMar>
            <w:top w:w="0" w:type="dxa"/>
            <w:left w:w="108" w:type="dxa"/>
            <w:bottom w:w="0" w:type="dxa"/>
            <w:right w:w="108" w:type="dxa"/>
          </w:tblCellMar>
        </w:tblPrEx>
        <w:trPr>
          <w:trHeight w:val="538" w:hRule="atLeast"/>
        </w:trPr>
        <w:tc>
          <w:tcPr>
            <w:tcW w:w="897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ascii="Times New Roman" w:hAnsi="Times New Roman" w:eastAsia="宋体" w:cs="Times New Roman"/>
                <w:szCs w:val="21"/>
                <w:highlight w:val="none"/>
              </w:rPr>
            </w:pPr>
            <w:r>
              <w:rPr>
                <w:rFonts w:hint="eastAsia" w:ascii="Times New Roman" w:hAnsi="Times New Roman" w:cs="Times New Roman"/>
                <w:szCs w:val="21"/>
                <w:highlight w:val="none"/>
                <w:lang w:val="en-US" w:eastAsia="zh-CN"/>
              </w:rPr>
              <w:t>10</w:t>
            </w:r>
            <w:r>
              <w:rPr>
                <w:rFonts w:ascii="Times New Roman" w:hAnsi="Times New Roman" w:eastAsia="宋体" w:cs="Times New Roman"/>
                <w:szCs w:val="21"/>
                <w:highlight w:val="none"/>
              </w:rPr>
              <w:t>需要补充的其他内容</w:t>
            </w:r>
          </w:p>
        </w:tc>
      </w:tr>
      <w:tr>
        <w:tblPrEx>
          <w:tblCellMar>
            <w:top w:w="0" w:type="dxa"/>
            <w:left w:w="108" w:type="dxa"/>
            <w:bottom w:w="0" w:type="dxa"/>
            <w:right w:w="108" w:type="dxa"/>
          </w:tblCellMar>
        </w:tblPrEx>
        <w:trPr>
          <w:trHeight w:val="584"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cs="Times New Roman"/>
                <w:szCs w:val="21"/>
                <w:highlight w:val="none"/>
                <w:lang w:val="en-US" w:eastAsia="zh-CN"/>
              </w:rPr>
              <w:t>10</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1</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宋体" w:cs="Times New Roman"/>
                <w:szCs w:val="21"/>
                <w:highlight w:val="none"/>
              </w:rPr>
            </w:pPr>
          </w:p>
        </w:tc>
      </w:tr>
    </w:tbl>
    <w:p>
      <w:pPr>
        <w:keepNext/>
        <w:keepLines/>
        <w:spacing w:before="156" w:beforeLines="50" w:after="156" w:afterLines="50" w:line="360" w:lineRule="auto"/>
        <w:outlineLvl w:val="1"/>
        <w:rPr>
          <w:rFonts w:ascii="Times New Roman" w:hAnsi="Times New Roman" w:cs="Times New Roman"/>
          <w:szCs w:val="21"/>
          <w:highlight w:val="none"/>
        </w:rPr>
      </w:pPr>
      <w:r>
        <w:rPr>
          <w:rFonts w:hint="eastAsia" w:ascii="Times New Roman" w:hAnsi="Times New Roman" w:cs="Times New Roman"/>
          <w:szCs w:val="21"/>
          <w:highlight w:val="none"/>
        </w:rPr>
        <w:t>注：供应商须知正文</w:t>
      </w:r>
      <w:r>
        <w:rPr>
          <w:rFonts w:ascii="Times New Roman" w:hAnsi="Times New Roman" w:cs="Times New Roman"/>
          <w:szCs w:val="21"/>
          <w:highlight w:val="none"/>
        </w:rPr>
        <w:t>与前附表</w:t>
      </w:r>
      <w:r>
        <w:rPr>
          <w:rFonts w:hint="eastAsia" w:ascii="Times New Roman" w:hAnsi="Times New Roman" w:cs="Times New Roman"/>
          <w:szCs w:val="21"/>
          <w:highlight w:val="none"/>
        </w:rPr>
        <w:t>内容</w:t>
      </w:r>
      <w:r>
        <w:rPr>
          <w:rFonts w:ascii="Times New Roman" w:hAnsi="Times New Roman" w:cs="Times New Roman"/>
          <w:szCs w:val="21"/>
          <w:highlight w:val="none"/>
        </w:rPr>
        <w:t>不一致</w:t>
      </w:r>
      <w:r>
        <w:rPr>
          <w:rFonts w:hint="eastAsia" w:ascii="Times New Roman" w:hAnsi="Times New Roman" w:cs="Times New Roman"/>
          <w:szCs w:val="21"/>
          <w:highlight w:val="none"/>
        </w:rPr>
        <w:t>时</w:t>
      </w:r>
      <w:r>
        <w:rPr>
          <w:rFonts w:ascii="Times New Roman" w:hAnsi="Times New Roman" w:cs="Times New Roman"/>
          <w:szCs w:val="21"/>
          <w:highlight w:val="none"/>
        </w:rPr>
        <w:t>，以供应商</w:t>
      </w:r>
      <w:r>
        <w:rPr>
          <w:rFonts w:hint="eastAsia" w:ascii="Times New Roman" w:hAnsi="Times New Roman" w:cs="Times New Roman"/>
          <w:szCs w:val="21"/>
          <w:highlight w:val="none"/>
        </w:rPr>
        <w:t>须知</w:t>
      </w:r>
      <w:r>
        <w:rPr>
          <w:rFonts w:ascii="Times New Roman" w:hAnsi="Times New Roman" w:cs="Times New Roman"/>
          <w:szCs w:val="21"/>
          <w:highlight w:val="none"/>
        </w:rPr>
        <w:t>前附表</w:t>
      </w:r>
      <w:r>
        <w:rPr>
          <w:rFonts w:hint="eastAsia" w:ascii="Times New Roman" w:hAnsi="Times New Roman" w:cs="Times New Roman"/>
          <w:szCs w:val="21"/>
          <w:highlight w:val="none"/>
        </w:rPr>
        <w:t>的</w:t>
      </w:r>
      <w:r>
        <w:rPr>
          <w:rFonts w:ascii="Times New Roman" w:hAnsi="Times New Roman" w:cs="Times New Roman"/>
          <w:szCs w:val="21"/>
          <w:highlight w:val="none"/>
        </w:rPr>
        <w:t>内容为准</w:t>
      </w:r>
      <w:r>
        <w:rPr>
          <w:rFonts w:hint="eastAsia" w:ascii="Times New Roman" w:hAnsi="Times New Roman" w:cs="Times New Roman"/>
          <w:szCs w:val="21"/>
          <w:highlight w:val="none"/>
        </w:rPr>
        <w:t>。</w:t>
      </w:r>
    </w:p>
    <w:p>
      <w:pPr>
        <w:pStyle w:val="2"/>
        <w:rPr>
          <w:highlight w:val="none"/>
        </w:rPr>
      </w:pPr>
    </w:p>
    <w:p>
      <w:pPr>
        <w:pStyle w:val="2"/>
        <w:rPr>
          <w:highlight w:val="none"/>
        </w:rPr>
      </w:pPr>
    </w:p>
    <w:p>
      <w:pPr>
        <w:keepNext/>
        <w:keepLines/>
        <w:spacing w:before="156" w:beforeLines="50" w:after="156" w:afterLines="50" w:line="360" w:lineRule="auto"/>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 总则</w:t>
      </w:r>
      <w:bookmarkEnd w:id="51"/>
      <w:bookmarkEnd w:id="52"/>
      <w:bookmarkEnd w:id="53"/>
    </w:p>
    <w:p>
      <w:pPr>
        <w:keepNext/>
        <w:keepLines/>
        <w:spacing w:before="120" w:after="120"/>
        <w:outlineLvl w:val="2"/>
        <w:rPr>
          <w:rFonts w:ascii="Times New Roman" w:hAnsi="Times New Roman" w:eastAsia="黑体" w:cs="Times New Roman"/>
          <w:bCs/>
          <w:sz w:val="24"/>
          <w:szCs w:val="32"/>
          <w:highlight w:val="none"/>
        </w:rPr>
      </w:pPr>
      <w:bookmarkStart w:id="54" w:name="_Toc26656939"/>
      <w:bookmarkStart w:id="55" w:name="_Toc14201208"/>
      <w:r>
        <w:rPr>
          <w:rFonts w:ascii="Times New Roman" w:hAnsi="Times New Roman" w:eastAsia="黑体" w:cs="Times New Roman"/>
          <w:bCs/>
          <w:sz w:val="24"/>
          <w:szCs w:val="32"/>
          <w:highlight w:val="none"/>
        </w:rPr>
        <w:t xml:space="preserve">1.1 </w:t>
      </w:r>
      <w:bookmarkEnd w:id="54"/>
      <w:bookmarkEnd w:id="55"/>
      <w:bookmarkStart w:id="56" w:name="_Toc14201210"/>
      <w:bookmarkStart w:id="57" w:name="_Toc26656941"/>
      <w:r>
        <w:rPr>
          <w:rFonts w:ascii="Times New Roman" w:hAnsi="Times New Roman" w:eastAsia="黑体" w:cs="Times New Roman"/>
          <w:bCs/>
          <w:sz w:val="24"/>
          <w:szCs w:val="32"/>
          <w:highlight w:val="none"/>
        </w:rPr>
        <w:t>质量要求和安全</w:t>
      </w:r>
      <w:bookmarkEnd w:id="56"/>
      <w:bookmarkEnd w:id="57"/>
      <w:r>
        <w:rPr>
          <w:rFonts w:hint="eastAsia" w:ascii="Times New Roman" w:hAnsi="Times New Roman" w:eastAsia="黑体" w:cs="Times New Roman"/>
          <w:bCs/>
          <w:sz w:val="24"/>
          <w:szCs w:val="32"/>
          <w:highlight w:val="none"/>
        </w:rPr>
        <w:t>目标</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1</w:t>
      </w:r>
      <w:r>
        <w:rPr>
          <w:rFonts w:ascii="Times New Roman" w:hAnsi="Times New Roman" w:cs="Times New Roman"/>
          <w:szCs w:val="21"/>
          <w:highlight w:val="none"/>
        </w:rPr>
        <w:t xml:space="preserve"> 本合同包的质量要求：</w:t>
      </w:r>
      <w:r>
        <w:rPr>
          <w:rFonts w:hint="eastAsia" w:ascii="Times New Roman" w:hAnsi="Times New Roman" w:cs="Times New Roman"/>
          <w:szCs w:val="21"/>
          <w:highlight w:val="none"/>
          <w:u w:val="single"/>
          <w:lang w:val="en-US" w:eastAsia="zh-CN"/>
        </w:rPr>
        <w:t>合格</w:t>
      </w:r>
      <w:r>
        <w:rPr>
          <w:rFonts w:hint="eastAsia" w:ascii="Times New Roman" w:hAnsi="Times New Roman" w:cs="Times New Roman"/>
          <w:szCs w:val="21"/>
          <w:highlight w:val="none"/>
        </w:rPr>
        <w:t>。</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本合同包的安全目标：</w:t>
      </w:r>
      <w:r>
        <w:rPr>
          <w:rFonts w:hint="eastAsia" w:ascii="Times New Roman" w:hAnsi="Times New Roman" w:cs="Times New Roman"/>
          <w:szCs w:val="21"/>
          <w:highlight w:val="none"/>
          <w:u w:val="single"/>
        </w:rPr>
        <w:t>合格</w:t>
      </w:r>
      <w:r>
        <w:rPr>
          <w:rFonts w:hint="eastAsia"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58" w:name="_Toc14201211"/>
      <w:bookmarkStart w:id="59" w:name="_Toc26656942"/>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 xml:space="preserve"> 供应商资格要求</w:t>
      </w:r>
      <w:bookmarkEnd w:id="58"/>
      <w:bookmarkEnd w:id="59"/>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.1供应商应具备承担本合同包</w:t>
      </w:r>
      <w:r>
        <w:rPr>
          <w:rFonts w:hint="eastAsia" w:ascii="Times New Roman" w:hAnsi="Times New Roman" w:cs="Times New Roman"/>
          <w:szCs w:val="21"/>
          <w:highlight w:val="none"/>
        </w:rPr>
        <w:t>服务</w:t>
      </w:r>
      <w:r>
        <w:rPr>
          <w:rFonts w:ascii="Times New Roman" w:hAnsi="Times New Roman" w:cs="Times New Roman"/>
          <w:szCs w:val="21"/>
          <w:highlight w:val="none"/>
        </w:rPr>
        <w:t xml:space="preserve">的资质条件、能力和信誉：见第一章 </w:t>
      </w:r>
      <w:r>
        <w:rPr>
          <w:rFonts w:hint="eastAsia" w:ascii="Times New Roman" w:hAnsi="Times New Roman" w:cs="Times New Roman"/>
          <w:szCs w:val="21"/>
          <w:highlight w:val="none"/>
        </w:rPr>
        <w:t>采购公告第3.1款要求</w:t>
      </w:r>
      <w:r>
        <w:rPr>
          <w:rFonts w:ascii="Times New Roman" w:hAnsi="Times New Roman" w:cs="Times New Roman"/>
          <w:szCs w:val="21"/>
          <w:highlight w:val="none"/>
        </w:rPr>
        <w:t>。</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其他</w:t>
      </w:r>
      <w:r>
        <w:rPr>
          <w:rFonts w:hint="eastAsia" w:ascii="Times New Roman" w:hAnsi="Times New Roman" w:cs="Times New Roman"/>
          <w:szCs w:val="21"/>
          <w:highlight w:val="none"/>
        </w:rPr>
        <w:t>要求：__</w:t>
      </w:r>
      <w:r>
        <w:rPr>
          <w:rFonts w:hint="eastAsia" w:ascii="Times New Roman" w:hAnsi="Times New Roman" w:cs="Times New Roman"/>
          <w:szCs w:val="21"/>
          <w:highlight w:val="none"/>
          <w:lang w:val="en-US" w:eastAsia="zh-CN"/>
        </w:rPr>
        <w:t>/</w:t>
      </w:r>
      <w:r>
        <w:rPr>
          <w:rFonts w:hint="eastAsia" w:ascii="Times New Roman" w:hAnsi="Times New Roman" w:cs="Times New Roman"/>
          <w:szCs w:val="21"/>
          <w:highlight w:val="none"/>
        </w:rPr>
        <w:t>___</w:t>
      </w:r>
      <w:r>
        <w:rPr>
          <w:rFonts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60" w:name="_Toc26656943"/>
      <w:bookmarkStart w:id="61" w:name="_Toc14201212"/>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3</w:t>
      </w:r>
      <w:r>
        <w:rPr>
          <w:rFonts w:ascii="Times New Roman" w:hAnsi="Times New Roman" w:eastAsia="黑体" w:cs="Times New Roman"/>
          <w:bCs/>
          <w:sz w:val="24"/>
          <w:szCs w:val="32"/>
          <w:highlight w:val="none"/>
        </w:rPr>
        <w:t xml:space="preserve"> 费用承担</w:t>
      </w:r>
      <w:bookmarkEnd w:id="60"/>
      <w:bookmarkEnd w:id="61"/>
    </w:p>
    <w:p>
      <w:pPr>
        <w:spacing w:line="440" w:lineRule="exact"/>
        <w:ind w:firstLine="420"/>
        <w:rPr>
          <w:rFonts w:ascii="Times New Roman" w:hAnsi="Times New Roman" w:cs="Times New Roman"/>
          <w:highlight w:val="none"/>
        </w:rPr>
      </w:pPr>
      <w:r>
        <w:rPr>
          <w:rFonts w:ascii="Times New Roman" w:hAnsi="Times New Roman" w:cs="Times New Roman"/>
          <w:szCs w:val="21"/>
          <w:highlight w:val="none"/>
        </w:rPr>
        <w:t>供应商</w:t>
      </w:r>
      <w:r>
        <w:rPr>
          <w:rFonts w:ascii="Times New Roman" w:hAnsi="Times New Roman" w:cs="Times New Roman"/>
          <w:highlight w:val="none"/>
        </w:rPr>
        <w:t>准备和参加询比活动发生的费用自理。</w:t>
      </w:r>
    </w:p>
    <w:p>
      <w:pPr>
        <w:keepNext/>
        <w:keepLines/>
        <w:spacing w:before="120" w:after="120"/>
        <w:outlineLvl w:val="2"/>
        <w:rPr>
          <w:rFonts w:ascii="Times New Roman" w:hAnsi="Times New Roman" w:eastAsia="黑体" w:cs="Times New Roman"/>
          <w:bCs/>
          <w:sz w:val="24"/>
          <w:szCs w:val="32"/>
          <w:highlight w:val="none"/>
        </w:rPr>
      </w:pPr>
      <w:bookmarkStart w:id="62" w:name="_Toc26656944"/>
      <w:bookmarkStart w:id="63" w:name="_Toc14201213"/>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4</w:t>
      </w:r>
      <w:r>
        <w:rPr>
          <w:rFonts w:ascii="Times New Roman" w:hAnsi="Times New Roman" w:eastAsia="黑体" w:cs="Times New Roman"/>
          <w:bCs/>
          <w:sz w:val="24"/>
          <w:szCs w:val="32"/>
          <w:highlight w:val="none"/>
        </w:rPr>
        <w:t xml:space="preserve"> 保密</w:t>
      </w:r>
      <w:bookmarkEnd w:id="62"/>
      <w:bookmarkEnd w:id="63"/>
    </w:p>
    <w:p>
      <w:pPr>
        <w:spacing w:line="440" w:lineRule="exact"/>
        <w:ind w:firstLine="420"/>
        <w:rPr>
          <w:rFonts w:ascii="Times New Roman" w:hAnsi="Times New Roman" w:cs="Times New Roman"/>
          <w:highlight w:val="none"/>
        </w:rPr>
      </w:pPr>
      <w:r>
        <w:rPr>
          <w:rFonts w:ascii="Times New Roman" w:hAnsi="Times New Roman" w:cs="Times New Roman"/>
          <w:highlight w:val="none"/>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highlight w:val="none"/>
        </w:rPr>
      </w:pPr>
      <w:bookmarkStart w:id="64" w:name="_Toc26656946"/>
      <w:bookmarkStart w:id="65" w:name="_Toc14201215"/>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5</w:t>
      </w:r>
      <w:r>
        <w:rPr>
          <w:rFonts w:ascii="Times New Roman" w:hAnsi="Times New Roman" w:eastAsia="黑体" w:cs="Times New Roman"/>
          <w:bCs/>
          <w:sz w:val="24"/>
          <w:szCs w:val="32"/>
          <w:highlight w:val="none"/>
        </w:rPr>
        <w:t xml:space="preserve"> 计量单位</w:t>
      </w:r>
      <w:bookmarkEnd w:id="64"/>
      <w:bookmarkEnd w:id="65"/>
    </w:p>
    <w:p>
      <w:pPr>
        <w:spacing w:line="440" w:lineRule="exact"/>
        <w:ind w:firstLine="420"/>
        <w:rPr>
          <w:rFonts w:ascii="Times New Roman" w:hAnsi="Times New Roman" w:cs="Times New Roman"/>
          <w:highlight w:val="none"/>
        </w:rPr>
      </w:pPr>
      <w:r>
        <w:rPr>
          <w:rFonts w:ascii="Times New Roman" w:hAnsi="Times New Roman" w:cs="Times New Roman"/>
          <w:highlight w:val="none"/>
        </w:rPr>
        <w:t>所有计量均采用中华人民共和国法定计量单位。</w:t>
      </w:r>
    </w:p>
    <w:p>
      <w:pPr>
        <w:keepNext/>
        <w:keepLines/>
        <w:spacing w:before="120" w:after="120"/>
        <w:outlineLvl w:val="2"/>
        <w:rPr>
          <w:rFonts w:ascii="Times New Roman" w:hAnsi="Times New Roman" w:eastAsia="黑体" w:cs="Times New Roman"/>
          <w:bCs/>
          <w:sz w:val="24"/>
          <w:szCs w:val="32"/>
          <w:highlight w:val="none"/>
        </w:rPr>
      </w:pPr>
      <w:bookmarkStart w:id="66" w:name="_Toc26656947"/>
      <w:bookmarkStart w:id="67" w:name="_Toc14201216"/>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 xml:space="preserve"> 踏勘现场</w:t>
      </w:r>
      <w:bookmarkEnd w:id="66"/>
      <w:bookmarkEnd w:id="67"/>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w:t>
      </w:r>
      <w:r>
        <w:rPr>
          <w:rFonts w:hint="eastAsia" w:ascii="Times New Roman" w:hAnsi="Times New Roman" w:cs="Times New Roman"/>
          <w:highlight w:val="none"/>
        </w:rPr>
        <w:t>自行</w:t>
      </w:r>
      <w:r>
        <w:rPr>
          <w:rFonts w:ascii="Times New Roman" w:hAnsi="Times New Roman" w:cs="Times New Roman"/>
          <w:highlight w:val="none"/>
        </w:rPr>
        <w:t>踏勘现场</w:t>
      </w:r>
      <w:r>
        <w:rPr>
          <w:rFonts w:hint="eastAsia" w:ascii="Times New Roman" w:hAnsi="Times New Roman" w:cs="Times New Roman"/>
          <w:highlight w:val="none"/>
        </w:rPr>
        <w:t>且</w:t>
      </w:r>
      <w:r>
        <w:rPr>
          <w:rFonts w:ascii="Times New Roman" w:hAnsi="Times New Roman" w:cs="Times New Roman"/>
          <w:highlight w:val="none"/>
        </w:rPr>
        <w:t>费用自理。</w:t>
      </w:r>
    </w:p>
    <w:p>
      <w:pPr>
        <w:keepNext/>
        <w:keepLines/>
        <w:spacing w:before="120" w:after="120"/>
        <w:outlineLvl w:val="2"/>
        <w:rPr>
          <w:rFonts w:ascii="Times New Roman" w:hAnsi="Times New Roman" w:eastAsia="黑体" w:cs="Times New Roman"/>
          <w:bCs/>
          <w:sz w:val="24"/>
          <w:szCs w:val="32"/>
          <w:highlight w:val="none"/>
        </w:rPr>
      </w:pPr>
      <w:bookmarkStart w:id="68" w:name="_Toc14201218"/>
      <w:bookmarkStart w:id="69" w:name="_Toc26656949"/>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7</w:t>
      </w:r>
      <w:r>
        <w:rPr>
          <w:rFonts w:ascii="Times New Roman" w:hAnsi="Times New Roman" w:eastAsia="黑体" w:cs="Times New Roman"/>
          <w:bCs/>
          <w:sz w:val="24"/>
          <w:szCs w:val="32"/>
          <w:highlight w:val="none"/>
        </w:rPr>
        <w:t xml:space="preserve"> 分包</w:t>
      </w:r>
      <w:bookmarkEnd w:id="68"/>
      <w:bookmarkEnd w:id="69"/>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不允许分包。</w:t>
      </w:r>
    </w:p>
    <w:p>
      <w:pPr>
        <w:keepNext/>
        <w:keepLines/>
        <w:spacing w:before="120" w:after="120"/>
        <w:outlineLvl w:val="2"/>
        <w:rPr>
          <w:rFonts w:ascii="Times New Roman" w:hAnsi="Times New Roman" w:eastAsia="黑体" w:cs="Times New Roman"/>
          <w:bCs/>
          <w:sz w:val="24"/>
          <w:szCs w:val="32"/>
          <w:highlight w:val="none"/>
        </w:rPr>
      </w:pPr>
      <w:bookmarkStart w:id="70" w:name="_Toc14201219"/>
      <w:bookmarkStart w:id="71" w:name="_Toc26656950"/>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8</w:t>
      </w:r>
      <w:r>
        <w:rPr>
          <w:rFonts w:ascii="Times New Roman" w:hAnsi="Times New Roman" w:eastAsia="黑体" w:cs="Times New Roman"/>
          <w:bCs/>
          <w:sz w:val="24"/>
          <w:szCs w:val="32"/>
          <w:highlight w:val="none"/>
        </w:rPr>
        <w:t xml:space="preserve"> 偏</w:t>
      </w:r>
      <w:bookmarkEnd w:id="70"/>
      <w:bookmarkEnd w:id="71"/>
      <w:r>
        <w:rPr>
          <w:rFonts w:hint="eastAsia" w:ascii="Times New Roman" w:hAnsi="Times New Roman" w:eastAsia="黑体" w:cs="Times New Roman"/>
          <w:bCs/>
          <w:sz w:val="24"/>
          <w:szCs w:val="32"/>
          <w:highlight w:val="none"/>
        </w:rPr>
        <w:t>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偏差包括重大偏差和细微偏差。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.2 响应文件存在第三章“评审办法”中所列任一否决</w:t>
      </w:r>
      <w:r>
        <w:rPr>
          <w:rFonts w:hint="eastAsia" w:ascii="Times New Roman" w:hAnsi="Times New Roman" w:cs="Times New Roman"/>
          <w:highlight w:val="none"/>
        </w:rPr>
        <w:t>响应文件</w:t>
      </w:r>
      <w:r>
        <w:rPr>
          <w:rFonts w:ascii="Times New Roman" w:hAnsi="Times New Roman" w:cs="Times New Roman"/>
          <w:highlight w:val="none"/>
        </w:rPr>
        <w:t>情形的，均属于存在重大偏差</w:t>
      </w:r>
      <w:r>
        <w:rPr>
          <w:rFonts w:hint="eastAsia" w:ascii="Times New Roman" w:hAnsi="Times New Roman" w:cs="Times New Roman"/>
          <w:highlight w:val="none"/>
        </w:rPr>
        <w:t>，响应文件将被否决</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2" w:name="_Toc9067721"/>
      <w:bookmarkStart w:id="73" w:name="_Toc26656951"/>
      <w:bookmarkStart w:id="74" w:name="_Toc14201220"/>
      <w:r>
        <w:rPr>
          <w:rFonts w:ascii="Times New Roman" w:hAnsi="Times New Roman" w:eastAsia="黑体" w:cs="Times New Roman"/>
          <w:bCs/>
          <w:sz w:val="24"/>
          <w:szCs w:val="32"/>
          <w:highlight w:val="none"/>
        </w:rPr>
        <w:t xml:space="preserve">2. </w:t>
      </w:r>
      <w:bookmarkEnd w:id="72"/>
      <w:bookmarkEnd w:id="73"/>
      <w:bookmarkEnd w:id="74"/>
      <w:r>
        <w:rPr>
          <w:rFonts w:ascii="Times New Roman" w:hAnsi="Times New Roman" w:eastAsia="黑体" w:cs="Times New Roman"/>
          <w:bCs/>
          <w:sz w:val="24"/>
          <w:szCs w:val="32"/>
          <w:highlight w:val="none"/>
        </w:rPr>
        <w:t>询比文件</w:t>
      </w:r>
    </w:p>
    <w:p>
      <w:pPr>
        <w:keepNext/>
        <w:keepLines/>
        <w:spacing w:before="120" w:after="120"/>
        <w:outlineLvl w:val="2"/>
        <w:rPr>
          <w:rFonts w:ascii="Times New Roman" w:hAnsi="Times New Roman" w:eastAsia="黑体" w:cs="Times New Roman"/>
          <w:bCs/>
          <w:sz w:val="24"/>
          <w:szCs w:val="32"/>
          <w:highlight w:val="none"/>
        </w:rPr>
      </w:pPr>
      <w:bookmarkStart w:id="75" w:name="_Toc26656952"/>
      <w:bookmarkStart w:id="76" w:name="_Toc14201221"/>
      <w:r>
        <w:rPr>
          <w:rFonts w:ascii="Times New Roman" w:hAnsi="Times New Roman" w:eastAsia="黑体" w:cs="Times New Roman"/>
          <w:bCs/>
          <w:sz w:val="24"/>
          <w:szCs w:val="32"/>
          <w:highlight w:val="none"/>
        </w:rPr>
        <w:t>2.1 询比文件的组成</w:t>
      </w:r>
      <w:bookmarkEnd w:id="75"/>
      <w:bookmarkEnd w:id="76"/>
    </w:p>
    <w:p>
      <w:pPr>
        <w:spacing w:line="440" w:lineRule="exact"/>
        <w:ind w:firstLine="420"/>
        <w:rPr>
          <w:rFonts w:ascii="Times New Roman" w:hAnsi="Times New Roman" w:cs="Times New Roman"/>
          <w:highlight w:val="none"/>
        </w:rPr>
      </w:pPr>
      <w:r>
        <w:rPr>
          <w:rFonts w:ascii="Times New Roman" w:hAnsi="Times New Roman" w:cs="Times New Roman"/>
          <w:highlight w:val="none"/>
        </w:rPr>
        <w:t>本询比文件包括：</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采购公告</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（2）供应商须知；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（4）合同条款及格式；</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（5）采购需求及清单；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（6）响应文件格式</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根据本章第2.2款对询比文件所作的澄清、修改，构成询比文件的组成部分。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highlight w:val="none"/>
        </w:rPr>
      </w:pPr>
      <w:bookmarkStart w:id="77" w:name="_Toc14201222"/>
      <w:bookmarkStart w:id="78" w:name="_Toc26656953"/>
      <w:r>
        <w:rPr>
          <w:rFonts w:ascii="Times New Roman" w:hAnsi="Times New Roman" w:eastAsia="黑体" w:cs="Times New Roman"/>
          <w:bCs/>
          <w:sz w:val="24"/>
          <w:szCs w:val="32"/>
          <w:highlight w:val="none"/>
        </w:rPr>
        <w:t>2.2 询比文件的澄清</w:t>
      </w:r>
      <w:bookmarkEnd w:id="77"/>
      <w:bookmarkEnd w:id="78"/>
      <w:r>
        <w:rPr>
          <w:rFonts w:hint="eastAsia" w:ascii="Times New Roman" w:hAnsi="Times New Roman" w:eastAsia="黑体" w:cs="Times New Roman"/>
          <w:bCs/>
          <w:sz w:val="24"/>
          <w:szCs w:val="32"/>
          <w:highlight w:val="none"/>
        </w:rPr>
        <w:t>与修改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2.2.1供应商如有疑问，应在递交</w:t>
      </w:r>
      <w:r>
        <w:rPr>
          <w:rFonts w:hint="eastAsia" w:ascii="Times New Roman" w:hAnsi="Times New Roman" w:cs="Times New Roman"/>
          <w:highlight w:val="none"/>
        </w:rPr>
        <w:t>响应</w:t>
      </w:r>
      <w:r>
        <w:rPr>
          <w:rFonts w:ascii="Times New Roman" w:hAnsi="Times New Roman" w:cs="Times New Roman"/>
          <w:highlight w:val="none"/>
        </w:rPr>
        <w:t>文件的截止时间</w:t>
      </w:r>
      <w:r>
        <w:rPr>
          <w:rFonts w:hint="eastAsia" w:ascii="Times New Roman" w:hAnsi="Times New Roman" w:cs="Times New Roman"/>
          <w:highlight w:val="none"/>
        </w:rPr>
        <w:t>3日</w:t>
      </w:r>
      <w:r>
        <w:rPr>
          <w:rFonts w:ascii="Times New Roman" w:hAnsi="Times New Roman" w:cs="Times New Roman"/>
          <w:highlight w:val="none"/>
        </w:rPr>
        <w:t>前</w:t>
      </w:r>
      <w:r>
        <w:rPr>
          <w:rFonts w:hint="eastAsia" w:ascii="Times New Roman" w:hAnsi="Times New Roman" w:cs="Times New Roman"/>
          <w:highlight w:val="none"/>
        </w:rPr>
        <w:t>联系</w:t>
      </w:r>
      <w:r>
        <w:rPr>
          <w:rFonts w:ascii="Times New Roman" w:hAnsi="Times New Roman" w:cs="Times New Roman"/>
          <w:highlight w:val="none"/>
        </w:rPr>
        <w:t>采购人对询比文件予以澄清</w:t>
      </w:r>
      <w:r>
        <w:rPr>
          <w:rFonts w:hint="eastAsia" w:ascii="Times New Roman" w:hAnsi="Times New Roman" w:cs="Times New Roman"/>
          <w:highlight w:val="none"/>
        </w:rPr>
        <w:t>或修改</w:t>
      </w:r>
      <w:r>
        <w:rPr>
          <w:rFonts w:ascii="Times New Roman" w:hAnsi="Times New Roman" w:cs="Times New Roman"/>
          <w:highlight w:val="none"/>
        </w:rPr>
        <w:t>。2.2.</w:t>
      </w:r>
      <w:r>
        <w:rPr>
          <w:rFonts w:hint="eastAsia" w:ascii="Times New Roman" w:hAnsi="Times New Roman" w:cs="Times New Roman"/>
          <w:highlight w:val="none"/>
        </w:rPr>
        <w:t>2</w:t>
      </w:r>
      <w:r>
        <w:rPr>
          <w:rFonts w:ascii="Times New Roman" w:hAnsi="Times New Roman" w:cs="Times New Roman"/>
          <w:highlight w:val="none"/>
        </w:rPr>
        <w:t xml:space="preserve"> 除非采购人认为确有必要答复，否则，采购人有权拒绝回复供应商在本章第2.2.1项规定的时间后提出的任何澄清</w:t>
      </w:r>
      <w:r>
        <w:rPr>
          <w:rFonts w:hint="eastAsia" w:ascii="Times New Roman" w:hAnsi="Times New Roman" w:cs="Times New Roman"/>
          <w:highlight w:val="none"/>
        </w:rPr>
        <w:t>或修改</w:t>
      </w:r>
      <w:r>
        <w:rPr>
          <w:rFonts w:ascii="Times New Roman" w:hAnsi="Times New Roman" w:cs="Times New Roman"/>
          <w:highlight w:val="none"/>
        </w:rPr>
        <w:t>要求。</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9" w:name="_Toc14201225"/>
      <w:bookmarkStart w:id="80" w:name="_Toc9067722"/>
      <w:bookmarkStart w:id="81" w:name="_Toc26656956"/>
      <w:r>
        <w:rPr>
          <w:rFonts w:ascii="Times New Roman" w:hAnsi="Times New Roman" w:eastAsia="黑体" w:cs="Times New Roman"/>
          <w:bCs/>
          <w:sz w:val="24"/>
          <w:szCs w:val="32"/>
          <w:highlight w:val="none"/>
        </w:rPr>
        <w:t xml:space="preserve">3. </w:t>
      </w:r>
      <w:bookmarkEnd w:id="79"/>
      <w:bookmarkEnd w:id="80"/>
      <w:bookmarkEnd w:id="81"/>
      <w:r>
        <w:rPr>
          <w:rFonts w:ascii="Times New Roman" w:hAnsi="Times New Roman" w:eastAsia="黑体" w:cs="Times New Roman"/>
          <w:bCs/>
          <w:sz w:val="24"/>
          <w:szCs w:val="32"/>
          <w:highlight w:val="none"/>
        </w:rPr>
        <w:t>响应文件</w:t>
      </w:r>
    </w:p>
    <w:p>
      <w:pPr>
        <w:keepNext/>
        <w:keepLines/>
        <w:spacing w:before="120" w:after="120"/>
        <w:outlineLvl w:val="2"/>
        <w:rPr>
          <w:rFonts w:ascii="Times New Roman" w:hAnsi="Times New Roman" w:eastAsia="黑体" w:cs="Times New Roman"/>
          <w:bCs/>
          <w:sz w:val="24"/>
          <w:szCs w:val="32"/>
          <w:highlight w:val="none"/>
        </w:rPr>
      </w:pPr>
      <w:bookmarkStart w:id="82" w:name="_Toc14201226"/>
      <w:bookmarkStart w:id="83" w:name="_Toc26656957"/>
      <w:r>
        <w:rPr>
          <w:rFonts w:ascii="Times New Roman" w:hAnsi="Times New Roman" w:eastAsia="黑体" w:cs="Times New Roman"/>
          <w:bCs/>
          <w:sz w:val="24"/>
          <w:szCs w:val="32"/>
          <w:highlight w:val="none"/>
        </w:rPr>
        <w:t>3.1响应文件的组成</w:t>
      </w:r>
      <w:bookmarkEnd w:id="82"/>
      <w:bookmarkEnd w:id="83"/>
    </w:p>
    <w:p>
      <w:pPr>
        <w:spacing w:line="440" w:lineRule="exact"/>
        <w:ind w:firstLine="420"/>
        <w:rPr>
          <w:rFonts w:ascii="Times New Roman" w:hAnsi="Times New Roman" w:cs="Times New Roman"/>
          <w:highlight w:val="none"/>
        </w:rPr>
      </w:pPr>
      <w:r>
        <w:rPr>
          <w:rFonts w:ascii="Times New Roman" w:hAnsi="Times New Roman" w:cs="Times New Roman"/>
          <w:highlight w:val="none"/>
        </w:rPr>
        <w:t>响应文件应包括下列内容：</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报价函</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法定代表人身份证明及授权委托书</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w:t>
      </w:r>
      <w:r>
        <w:rPr>
          <w:rFonts w:ascii="Times New Roman" w:hAnsi="Times New Roman" w:cs="Times New Roman"/>
          <w:highlight w:val="none"/>
        </w:rPr>
        <w:t>已标价的</w:t>
      </w:r>
      <w:r>
        <w:rPr>
          <w:rFonts w:hint="eastAsia" w:ascii="Times New Roman" w:hAnsi="Times New Roman" w:cs="Times New Roman"/>
          <w:highlight w:val="none"/>
        </w:rPr>
        <w:t>报价清单；</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w:t>
      </w:r>
      <w:r>
        <w:rPr>
          <w:rFonts w:ascii="Times New Roman" w:hAnsi="Times New Roman" w:cs="Times New Roman"/>
          <w:highlight w:val="none"/>
        </w:rPr>
        <w:t>供应商基本情况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w:t>
      </w:r>
      <w:r>
        <w:rPr>
          <w:rFonts w:ascii="Times New Roman" w:hAnsi="Times New Roman" w:cs="Times New Roman"/>
          <w:highlight w:val="none"/>
        </w:rPr>
        <w:t>近年类似业绩情况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（6）</w:t>
      </w:r>
      <w:r>
        <w:rPr>
          <w:rFonts w:ascii="Times New Roman" w:hAnsi="Times New Roman" w:cs="Times New Roman"/>
          <w:highlight w:val="none"/>
        </w:rPr>
        <w:t>拟委任的主要人员</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（7）</w:t>
      </w:r>
      <w:r>
        <w:rPr>
          <w:rFonts w:ascii="Times New Roman" w:hAnsi="Times New Roman" w:cs="Times New Roman"/>
          <w:highlight w:val="none"/>
        </w:rPr>
        <w:t>信誉情况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（8）</w:t>
      </w:r>
      <w:r>
        <w:rPr>
          <w:rFonts w:hint="eastAsia" w:ascii="Times New Roman" w:hAnsi="Times New Roman" w:cs="Times New Roman"/>
          <w:highlight w:val="none"/>
          <w:lang w:val="en-US" w:eastAsia="zh-CN"/>
        </w:rPr>
        <w:t>服务</w:t>
      </w:r>
      <w:r>
        <w:rPr>
          <w:rFonts w:hint="eastAsia" w:ascii="Times New Roman" w:hAnsi="Times New Roman" w:cs="Times New Roman"/>
          <w:highlight w:val="none"/>
        </w:rPr>
        <w:t>方案；</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其他材料</w:t>
      </w:r>
      <w:r>
        <w:rPr>
          <w:rFonts w:hint="eastAsia"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4" w:name="_Toc26656958"/>
      <w:bookmarkStart w:id="85" w:name="_Toc14201227"/>
      <w:r>
        <w:rPr>
          <w:rFonts w:ascii="Times New Roman" w:hAnsi="Times New Roman" w:eastAsia="黑体" w:cs="Times New Roman"/>
          <w:bCs/>
          <w:sz w:val="24"/>
          <w:szCs w:val="32"/>
          <w:highlight w:val="none"/>
        </w:rPr>
        <w:t>3.2 报价</w:t>
      </w:r>
      <w:bookmarkEnd w:id="84"/>
      <w:bookmarkEnd w:id="85"/>
      <w:r>
        <w:rPr>
          <w:rFonts w:ascii="Times New Roman" w:hAnsi="Times New Roman" w:eastAsia="黑体" w:cs="Times New Roman"/>
          <w:bCs/>
          <w:sz w:val="24"/>
          <w:szCs w:val="32"/>
          <w:highlight w:val="none"/>
        </w:rPr>
        <w:t xml:space="preserve">要求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3.2.1 报价应包括国家规定的增值税税金</w:t>
      </w:r>
      <w:r>
        <w:rPr>
          <w:rFonts w:hint="eastAsia" w:ascii="Times New Roman" w:hAnsi="Times New Roman" w:cs="Times New Roman"/>
          <w:highlight w:val="none"/>
        </w:rPr>
        <w:t>，供应商应提供增值税</w:t>
      </w:r>
      <w:r>
        <w:rPr>
          <w:rFonts w:hint="eastAsia" w:ascii="Times New Roman" w:hAnsi="Times New Roman" w:cs="Times New Roman"/>
          <w:highlight w:val="none"/>
          <w:u w:val="single"/>
        </w:rPr>
        <w:t>（专用）</w:t>
      </w:r>
      <w:r>
        <w:rPr>
          <w:rFonts w:hint="eastAsia" w:ascii="Times New Roman" w:hAnsi="Times New Roman" w:cs="Times New Roman"/>
          <w:highlight w:val="none"/>
        </w:rPr>
        <w:t>发票</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3.2.2 </w:t>
      </w:r>
      <w:r>
        <w:rPr>
          <w:rFonts w:ascii="Times New Roman" w:hAnsi="Times New Roman" w:cs="Times New Roman"/>
          <w:highlight w:val="none"/>
        </w:rPr>
        <w:t>供应商应按第六章“响应文件格式”的要求在报价函中进行报价并填写</w:t>
      </w:r>
      <w:r>
        <w:rPr>
          <w:rFonts w:hint="eastAsia" w:ascii="Times New Roman" w:hAnsi="Times New Roman" w:cs="Times New Roman"/>
          <w:highlight w:val="none"/>
        </w:rPr>
        <w:t>报价清单</w:t>
      </w:r>
      <w:r>
        <w:rPr>
          <w:rFonts w:ascii="Times New Roman" w:hAnsi="Times New Roman" w:cs="Times New Roman"/>
          <w:highlight w:val="none"/>
        </w:rPr>
        <w:t>相应表格。</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3</w:t>
      </w:r>
      <w:r>
        <w:rPr>
          <w:rFonts w:ascii="Times New Roman" w:hAnsi="Times New Roman" w:cs="Times New Roman"/>
          <w:highlight w:val="none"/>
        </w:rPr>
        <w:t xml:space="preserve"> 采购人设有最高限价的，供应商的报价不得超过最高限价，</w:t>
      </w:r>
      <w:r>
        <w:rPr>
          <w:rFonts w:hint="eastAsia" w:ascii="Times New Roman" w:hAnsi="Times New Roman" w:cs="Times New Roman"/>
          <w:highlight w:val="none"/>
        </w:rPr>
        <w:t>否则其报价将被否决，</w:t>
      </w:r>
      <w:r>
        <w:rPr>
          <w:rFonts w:ascii="Times New Roman" w:hAnsi="Times New Roman" w:cs="Times New Roman"/>
          <w:highlight w:val="none"/>
        </w:rPr>
        <w:t>最高限价</w:t>
      </w:r>
      <w:r>
        <w:rPr>
          <w:rFonts w:hint="eastAsia" w:ascii="Times New Roman" w:hAnsi="Times New Roman" w:cs="Times New Roman"/>
          <w:highlight w:val="none"/>
        </w:rPr>
        <w:t>见第一章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第2.5款</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3.2.4</w:t>
      </w:r>
      <w:r>
        <w:rPr>
          <w:rFonts w:ascii="Times New Roman" w:hAnsi="Times New Roman" w:cs="Times New Roman"/>
          <w:highlight w:val="none"/>
        </w:rPr>
        <w:t>本项目的报价方式</w:t>
      </w:r>
      <w:r>
        <w:rPr>
          <w:rFonts w:hint="eastAsia" w:ascii="Times New Roman" w:hAnsi="Times New Roman" w:cs="Times New Roman"/>
          <w:highlight w:val="none"/>
        </w:rPr>
        <w:t>为</w:t>
      </w:r>
      <w:r>
        <w:rPr>
          <w:rFonts w:hint="eastAsia" w:ascii="Times New Roman" w:hAnsi="Times New Roman" w:cs="Times New Roman"/>
          <w:highlight w:val="none"/>
          <w:u w:val="single"/>
        </w:rPr>
        <w:t>总价</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5</w:t>
      </w:r>
      <w:r>
        <w:rPr>
          <w:rFonts w:ascii="Times New Roman" w:hAnsi="Times New Roman" w:cs="Times New Roman"/>
          <w:highlight w:val="none"/>
        </w:rPr>
        <w:t xml:space="preserve"> 报价的其他要求</w:t>
      </w:r>
      <w:r>
        <w:rPr>
          <w:rFonts w:hint="eastAsia" w:ascii="Times New Roman" w:hAnsi="Times New Roman" w:cs="Times New Roman"/>
          <w:highlight w:val="none"/>
        </w:rPr>
        <w:t>：</w:t>
      </w:r>
      <w:r>
        <w:rPr>
          <w:rFonts w:hint="eastAsia" w:ascii="Times New Roman" w:hAnsi="Times New Roman" w:cs="Times New Roman"/>
          <w:szCs w:val="21"/>
          <w:highlight w:val="none"/>
          <w:u w:val="single"/>
          <w:lang w:val="en-US" w:eastAsia="zh-CN"/>
        </w:rPr>
        <w:t>同一供应商不得递交两个以上不同的报价。报价应包含但不限于合同约定的所有服务的费用及配合费用（包括但不限于劳务费、应缴纳的税费、为完成本科技项目工作所需的行政、通讯费用、工作人员的薪金、奖金、福利、交通、食宿、加班以及到现场人员差旅食宿费等所有费用）。</w:t>
      </w:r>
    </w:p>
    <w:p>
      <w:pPr>
        <w:keepNext/>
        <w:keepLines/>
        <w:spacing w:before="120" w:after="120"/>
        <w:outlineLvl w:val="2"/>
        <w:rPr>
          <w:rFonts w:ascii="Times New Roman" w:hAnsi="Times New Roman" w:eastAsia="黑体" w:cs="Times New Roman"/>
          <w:bCs/>
          <w:sz w:val="24"/>
          <w:szCs w:val="32"/>
          <w:highlight w:val="none"/>
        </w:rPr>
      </w:pPr>
      <w:bookmarkStart w:id="86" w:name="_Toc26656959"/>
      <w:bookmarkStart w:id="87" w:name="_Toc14201228"/>
      <w:r>
        <w:rPr>
          <w:rFonts w:ascii="Times New Roman" w:hAnsi="Times New Roman" w:eastAsia="黑体" w:cs="Times New Roman"/>
          <w:bCs/>
          <w:sz w:val="24"/>
          <w:szCs w:val="32"/>
          <w:highlight w:val="none"/>
        </w:rPr>
        <w:t>3.3</w:t>
      </w:r>
      <w:bookmarkEnd w:id="86"/>
      <w:bookmarkEnd w:id="87"/>
      <w:r>
        <w:rPr>
          <w:rFonts w:ascii="Times New Roman" w:hAnsi="Times New Roman" w:eastAsia="黑体" w:cs="Times New Roman"/>
          <w:bCs/>
          <w:sz w:val="24"/>
          <w:szCs w:val="32"/>
          <w:highlight w:val="none"/>
        </w:rPr>
        <w:t>响应有效期</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3.3.1 响应有效期为</w:t>
      </w:r>
      <w:r>
        <w:rPr>
          <w:rFonts w:ascii="Times New Roman" w:hAnsi="Times New Roman" w:eastAsia="宋体" w:cs="Times New Roman"/>
          <w:szCs w:val="21"/>
          <w:highlight w:val="none"/>
        </w:rPr>
        <w:t>自供应商递交响应文件截止之日起计算</w:t>
      </w:r>
      <w:r>
        <w:rPr>
          <w:rFonts w:hint="eastAsia" w:ascii="Times New Roman" w:hAnsi="Times New Roman" w:eastAsia="宋体" w:cs="Times New Roman"/>
          <w:szCs w:val="21"/>
          <w:highlight w:val="none"/>
        </w:rPr>
        <w:t>9</w:t>
      </w:r>
      <w:r>
        <w:rPr>
          <w:rFonts w:ascii="Times New Roman" w:hAnsi="Times New Roman" w:eastAsia="宋体" w:cs="Times New Roman"/>
          <w:szCs w:val="21"/>
          <w:highlight w:val="none"/>
        </w:rPr>
        <w:t>0</w:t>
      </w:r>
      <w:r>
        <w:rPr>
          <w:rFonts w:ascii="Times New Roman" w:hAnsi="Times New Roman" w:cs="Times New Roman"/>
          <w:highlight w:val="none"/>
        </w:rPr>
        <w:t>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highlight w:val="none"/>
        </w:rPr>
      </w:pPr>
      <w:bookmarkStart w:id="88" w:name="_Toc26656960"/>
      <w:bookmarkStart w:id="89" w:name="_Toc14201229"/>
      <w:r>
        <w:rPr>
          <w:rFonts w:ascii="Times New Roman" w:hAnsi="Times New Roman" w:eastAsia="黑体" w:cs="Times New Roman"/>
          <w:bCs/>
          <w:sz w:val="24"/>
          <w:szCs w:val="32"/>
          <w:highlight w:val="none"/>
        </w:rPr>
        <w:t>3.4</w:t>
      </w:r>
      <w:bookmarkEnd w:id="88"/>
      <w:bookmarkEnd w:id="89"/>
      <w:r>
        <w:rPr>
          <w:rFonts w:ascii="Times New Roman" w:hAnsi="Times New Roman" w:eastAsia="黑体" w:cs="Times New Roman"/>
          <w:bCs/>
          <w:sz w:val="24"/>
          <w:szCs w:val="32"/>
          <w:highlight w:val="none"/>
        </w:rPr>
        <w:t>响应保证金</w:t>
      </w:r>
    </w:p>
    <w:p>
      <w:pPr>
        <w:spacing w:line="440" w:lineRule="exact"/>
        <w:ind w:firstLine="420"/>
        <w:rPr>
          <w:rFonts w:ascii="Times New Roman" w:hAnsi="Times New Roman"/>
          <w:highlight w:val="none"/>
        </w:rPr>
      </w:pPr>
      <w:r>
        <w:rPr>
          <w:rFonts w:ascii="Times New Roman" w:hAnsi="Times New Roman" w:cs="Times New Roman"/>
          <w:highlight w:val="none"/>
        </w:rPr>
        <w:t>3.4.1 供应商在递交响应文件的同时，应按</w:t>
      </w:r>
      <w:r>
        <w:rPr>
          <w:rFonts w:hint="eastAsia" w:ascii="Times New Roman" w:hAnsi="Times New Roman" w:cs="Times New Roman"/>
          <w:highlight w:val="none"/>
        </w:rPr>
        <w:t>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第7条的要求</w:t>
      </w:r>
      <w:r>
        <w:rPr>
          <w:rFonts w:ascii="Times New Roman" w:hAnsi="Times New Roman" w:cs="Times New Roman"/>
          <w:highlight w:val="none"/>
        </w:rPr>
        <w:t>递交响应保证金，并作为其响应文件的组成部分。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无论采取何种形式的响应保证金，响应保证金有效期均应与响应有效期一致。</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3.4.2 供应商不按本章第3.4.1项要求提交响应保证金的，</w:t>
      </w:r>
      <w:r>
        <w:rPr>
          <w:rFonts w:hint="eastAsia" w:ascii="Times New Roman" w:hAnsi="Times New Roman" w:cs="Times New Roman"/>
          <w:highlight w:val="none"/>
        </w:rPr>
        <w:t>评审小组</w:t>
      </w:r>
      <w:r>
        <w:rPr>
          <w:rFonts w:ascii="Times New Roman" w:hAnsi="Times New Roman" w:cs="Times New Roman"/>
          <w:highlight w:val="none"/>
        </w:rPr>
        <w:t>将否决其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3.4.3 采购人在与成交人签订合同后5日内办理退还响应保证金手续。</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3.4.4 有下列情形之一的，响应保证金将不予退还：</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（1）供应商在规定的响应有效期内撤销其响应文件；</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highlight w:val="none"/>
        </w:rPr>
      </w:pPr>
      <w:bookmarkStart w:id="90" w:name="_Toc26656961"/>
      <w:bookmarkStart w:id="91" w:name="_Toc14201230"/>
      <w:r>
        <w:rPr>
          <w:rFonts w:ascii="Times New Roman" w:hAnsi="Times New Roman" w:eastAsia="黑体" w:cs="Times New Roman"/>
          <w:bCs/>
          <w:sz w:val="24"/>
          <w:szCs w:val="32"/>
          <w:highlight w:val="none"/>
        </w:rPr>
        <w:t>3.5资格审查资料</w:t>
      </w:r>
      <w:bookmarkEnd w:id="90"/>
      <w:bookmarkEnd w:id="91"/>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供应商应按第六章“响应文件格式”</w:t>
      </w:r>
      <w:r>
        <w:rPr>
          <w:rFonts w:hint="eastAsia" w:ascii="Times New Roman" w:hAnsi="Times New Roman" w:cs="Times New Roman"/>
          <w:highlight w:val="none"/>
        </w:rPr>
        <w:t>的</w:t>
      </w:r>
      <w:r>
        <w:rPr>
          <w:rFonts w:ascii="Times New Roman" w:hAnsi="Times New Roman" w:cs="Times New Roman"/>
          <w:highlight w:val="none"/>
        </w:rPr>
        <w:t>规定提供资格审查资料，以证明其满足本章第1.</w:t>
      </w:r>
      <w:r>
        <w:rPr>
          <w:rFonts w:hint="eastAsia" w:ascii="Times New Roman" w:hAnsi="Times New Roman" w:cs="Times New Roman"/>
          <w:highlight w:val="none"/>
        </w:rPr>
        <w:t>2</w:t>
      </w:r>
      <w:r>
        <w:rPr>
          <w:rFonts w:ascii="Times New Roman" w:hAnsi="Times New Roman" w:cs="Times New Roman"/>
          <w:highlight w:val="none"/>
        </w:rPr>
        <w:t>款规定的资质、业绩、信誉等要求。</w:t>
      </w:r>
    </w:p>
    <w:p>
      <w:pPr>
        <w:keepNext/>
        <w:keepLines/>
        <w:spacing w:before="120" w:after="120"/>
        <w:outlineLvl w:val="2"/>
        <w:rPr>
          <w:rFonts w:ascii="Times New Roman" w:hAnsi="Times New Roman" w:eastAsia="黑体" w:cs="Times New Roman"/>
          <w:bCs/>
          <w:sz w:val="24"/>
          <w:szCs w:val="32"/>
          <w:highlight w:val="none"/>
        </w:rPr>
      </w:pPr>
      <w:bookmarkStart w:id="92" w:name="_Toc26656963"/>
      <w:bookmarkStart w:id="93" w:name="_Toc14201232"/>
      <w:r>
        <w:rPr>
          <w:rFonts w:ascii="Times New Roman" w:hAnsi="Times New Roman" w:eastAsia="黑体" w:cs="Times New Roman"/>
          <w:bCs/>
          <w:sz w:val="24"/>
          <w:szCs w:val="32"/>
          <w:highlight w:val="none"/>
        </w:rPr>
        <w:t>3.</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响应文件的编制</w:t>
      </w:r>
      <w:bookmarkEnd w:id="92"/>
      <w:bookmarkEnd w:id="93"/>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响应文件应按第六章“响应文件格式”进行编写，如有必要，可以增加附页，作为响应文件的组成部分。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.2 响应文件应当对询比文件有关</w:t>
      </w:r>
      <w:r>
        <w:rPr>
          <w:rFonts w:hint="eastAsia" w:ascii="Times New Roman" w:hAnsi="Times New Roman" w:cs="Times New Roman"/>
          <w:highlight w:val="none"/>
        </w:rPr>
        <w:t>服务</w:t>
      </w:r>
      <w:r>
        <w:rPr>
          <w:rFonts w:ascii="Times New Roman" w:hAnsi="Times New Roman" w:cs="Times New Roman"/>
          <w:highlight w:val="none"/>
        </w:rPr>
        <w:t>期、响应有效期、质量要求、安全目标、技术标准和要求、</w:t>
      </w:r>
      <w:r>
        <w:rPr>
          <w:rFonts w:hint="eastAsia" w:ascii="Times New Roman" w:hAnsi="Times New Roman" w:cs="Times New Roman"/>
          <w:highlight w:val="none"/>
        </w:rPr>
        <w:t>采购范围</w:t>
      </w:r>
      <w:r>
        <w:rPr>
          <w:rFonts w:ascii="Times New Roman" w:hAnsi="Times New Roman" w:cs="Times New Roman"/>
          <w:highlight w:val="none"/>
        </w:rPr>
        <w:t>等实质性内容作出响应。</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.3响应文件的制作应满足以下规定：</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响应</w:t>
      </w:r>
      <w:r>
        <w:rPr>
          <w:rFonts w:ascii="Times New Roman" w:hAnsi="Times New Roman" w:cs="Times New Roman"/>
          <w:highlight w:val="none"/>
        </w:rPr>
        <w:t>文件应用不褪色的材料书写或打印，并按第六章“</w:t>
      </w:r>
      <w:r>
        <w:rPr>
          <w:rFonts w:hint="eastAsia" w:ascii="Times New Roman" w:hAnsi="Times New Roman" w:cs="Times New Roman"/>
          <w:highlight w:val="none"/>
        </w:rPr>
        <w:t>响应文件</w:t>
      </w:r>
      <w:r>
        <w:rPr>
          <w:rFonts w:ascii="Times New Roman" w:hAnsi="Times New Roman" w:cs="Times New Roman"/>
          <w:highlight w:val="none"/>
        </w:rPr>
        <w:t>格式”的要求进行</w:t>
      </w:r>
      <w:r>
        <w:rPr>
          <w:rFonts w:hint="eastAsia" w:ascii="Times New Roman" w:hAnsi="Times New Roman" w:cs="Times New Roman"/>
          <w:highlight w:val="none"/>
        </w:rPr>
        <w:t>签名</w:t>
      </w:r>
      <w:r>
        <w:rPr>
          <w:rFonts w:ascii="Times New Roman" w:hAnsi="Times New Roman" w:cs="Times New Roman"/>
          <w:highlight w:val="none"/>
        </w:rPr>
        <w:t>和（或）盖章。</w:t>
      </w:r>
      <w:r>
        <w:rPr>
          <w:rFonts w:hint="eastAsia" w:ascii="Times New Roman" w:hAnsi="Times New Roman" w:cs="Times New Roman"/>
          <w:highlight w:val="none"/>
        </w:rPr>
        <w:t>响应</w:t>
      </w:r>
      <w:r>
        <w:rPr>
          <w:rFonts w:ascii="Times New Roman" w:hAnsi="Times New Roman" w:cs="Times New Roman"/>
          <w:highlight w:val="none"/>
        </w:rPr>
        <w:t>文件应尽量避免涂改、行间插字或删除。如果出现上述情况，改动之处应由</w:t>
      </w:r>
      <w:r>
        <w:rPr>
          <w:rFonts w:hint="eastAsia" w:ascii="Times New Roman" w:hAnsi="Times New Roman" w:cs="Times New Roman"/>
          <w:highlight w:val="none"/>
        </w:rPr>
        <w:t>供应商</w:t>
      </w:r>
      <w:r>
        <w:rPr>
          <w:rFonts w:ascii="Times New Roman" w:hAnsi="Times New Roman" w:cs="Times New Roman"/>
          <w:highlight w:val="none"/>
        </w:rPr>
        <w:t>的法定代表人或其授权的代理人</w:t>
      </w:r>
      <w:r>
        <w:rPr>
          <w:rFonts w:hint="eastAsia" w:ascii="Times New Roman" w:hAnsi="Times New Roman" w:cs="Times New Roman"/>
          <w:highlight w:val="none"/>
        </w:rPr>
        <w:t>签名</w:t>
      </w:r>
      <w:r>
        <w:rPr>
          <w:rFonts w:ascii="Times New Roman" w:hAnsi="Times New Roman" w:cs="Times New Roman"/>
          <w:highlight w:val="none"/>
        </w:rPr>
        <w:t>或盖单位章。</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响应文件</w:t>
      </w:r>
      <w:r>
        <w:rPr>
          <w:rFonts w:ascii="Times New Roman" w:hAnsi="Times New Roman" w:cs="Times New Roman"/>
          <w:highlight w:val="none"/>
        </w:rPr>
        <w:t>正本一份，副本</w:t>
      </w:r>
      <w:r>
        <w:rPr>
          <w:rFonts w:hint="eastAsia" w:ascii="Times New Roman" w:hAnsi="Times New Roman" w:cs="Times New Roman"/>
          <w:highlight w:val="none"/>
          <w:lang w:val="en-US" w:eastAsia="zh-CN"/>
        </w:rPr>
        <w:t>一</w:t>
      </w:r>
      <w:r>
        <w:rPr>
          <w:rFonts w:ascii="Times New Roman" w:hAnsi="Times New Roman" w:cs="Times New Roman"/>
          <w:highlight w:val="none"/>
        </w:rPr>
        <w:t>份</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响应文件盖章扫描件电子版一份（U盘）</w:t>
      </w:r>
      <w:r>
        <w:rPr>
          <w:rFonts w:ascii="Times New Roman" w:hAnsi="Times New Roman" w:cs="Times New Roman"/>
          <w:highlight w:val="none"/>
        </w:rPr>
        <w:t>。正本和副本的封面右上角上应清楚地标记“正本”或“副本”的字样。当副本和正本不一致时，以正本文件为准。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响应文件</w:t>
      </w:r>
      <w:r>
        <w:rPr>
          <w:rFonts w:ascii="Times New Roman" w:hAnsi="Times New Roman" w:cs="Times New Roman"/>
          <w:highlight w:val="none"/>
        </w:rPr>
        <w:t>的正本与副本应分别装订。</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94" w:name="_Toc26656964"/>
      <w:bookmarkStart w:id="95" w:name="_Toc14201233"/>
      <w:bookmarkStart w:id="96" w:name="_Toc9067723"/>
      <w:r>
        <w:rPr>
          <w:rFonts w:ascii="Times New Roman" w:hAnsi="Times New Roman" w:eastAsia="黑体" w:cs="Times New Roman"/>
          <w:bCs/>
          <w:sz w:val="24"/>
          <w:szCs w:val="32"/>
          <w:highlight w:val="none"/>
        </w:rPr>
        <w:t xml:space="preserve">4. </w:t>
      </w:r>
      <w:bookmarkEnd w:id="94"/>
      <w:bookmarkEnd w:id="95"/>
      <w:bookmarkEnd w:id="96"/>
      <w:r>
        <w:rPr>
          <w:rFonts w:ascii="Times New Roman" w:hAnsi="Times New Roman" w:eastAsia="黑体" w:cs="Times New Roman"/>
          <w:bCs/>
          <w:sz w:val="24"/>
          <w:szCs w:val="32"/>
          <w:highlight w:val="none"/>
        </w:rPr>
        <w:t>响应文件的递交</w:t>
      </w:r>
    </w:p>
    <w:p>
      <w:pPr>
        <w:keepNext/>
        <w:keepLines/>
        <w:spacing w:before="120" w:after="120"/>
        <w:outlineLvl w:val="2"/>
        <w:rPr>
          <w:rFonts w:ascii="Times New Roman" w:hAnsi="Times New Roman" w:eastAsia="黑体" w:cs="Times New Roman"/>
          <w:bCs/>
          <w:sz w:val="24"/>
          <w:szCs w:val="32"/>
          <w:highlight w:val="none"/>
        </w:rPr>
      </w:pPr>
      <w:bookmarkStart w:id="97" w:name="_Toc14201234"/>
      <w:bookmarkStart w:id="98" w:name="_Toc26656965"/>
      <w:r>
        <w:rPr>
          <w:rFonts w:ascii="Times New Roman" w:hAnsi="Times New Roman" w:eastAsia="黑体" w:cs="Times New Roman"/>
          <w:bCs/>
          <w:sz w:val="24"/>
          <w:szCs w:val="32"/>
          <w:highlight w:val="none"/>
        </w:rPr>
        <w:t>4.1响应文件的密封和标记</w:t>
      </w:r>
      <w:bookmarkEnd w:id="97"/>
      <w:bookmarkEnd w:id="98"/>
    </w:p>
    <w:p>
      <w:pPr>
        <w:spacing w:line="440" w:lineRule="exact"/>
        <w:ind w:firstLine="420"/>
        <w:rPr>
          <w:rFonts w:ascii="Times New Roman" w:hAnsi="Times New Roman" w:cs="Times New Roman"/>
          <w:highlight w:val="none"/>
        </w:rPr>
      </w:pPr>
      <w:r>
        <w:rPr>
          <w:rFonts w:ascii="Times New Roman" w:hAnsi="Times New Roman" w:cs="Times New Roman"/>
          <w:highlight w:val="none"/>
        </w:rPr>
        <w:t>4.1.1响应文件</w:t>
      </w:r>
      <w:r>
        <w:rPr>
          <w:rFonts w:hint="eastAsia" w:ascii="Times New Roman" w:hAnsi="Times New Roman" w:cs="Times New Roman"/>
          <w:highlight w:val="none"/>
        </w:rPr>
        <w:t>正、副本</w:t>
      </w:r>
      <w:r>
        <w:rPr>
          <w:rFonts w:ascii="Times New Roman" w:hAnsi="Times New Roman" w:cs="Times New Roman"/>
          <w:highlight w:val="none"/>
        </w:rPr>
        <w:t>应密封包装</w:t>
      </w:r>
      <w:r>
        <w:rPr>
          <w:rFonts w:hint="eastAsia" w:ascii="Times New Roman" w:hAnsi="Times New Roman" w:cs="Times New Roman"/>
          <w:highlight w:val="none"/>
        </w:rPr>
        <w:t>在一个封套内，封套上注明：</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rPr>
        <w:t>供应商名称：</w:t>
      </w:r>
      <w:r>
        <w:rPr>
          <w:rFonts w:hint="eastAsia" w:ascii="Times New Roman" w:hAnsi="Times New Roman" w:eastAsia="黑体" w:cs="黑体"/>
          <w:bCs/>
          <w:snapToGrid w:val="0"/>
          <w:kern w:val="0"/>
          <w:szCs w:val="21"/>
          <w:highlight w:val="none"/>
          <w:u w:val="single"/>
        </w:rPr>
        <w:t xml:space="preserve">  </w:t>
      </w:r>
      <w:r>
        <w:rPr>
          <w:rFonts w:hint="eastAsia" w:ascii="Times New Roman" w:hAnsi="Times New Roman" w:eastAsia="黑体" w:cs="黑体"/>
          <w:bCs/>
          <w:snapToGrid w:val="0"/>
          <w:kern w:val="0"/>
          <w:szCs w:val="21"/>
          <w:highlight w:val="none"/>
          <w:u w:val="single"/>
          <w:lang w:val="en-US" w:eastAsia="zh-CN"/>
        </w:rPr>
        <w:t>XXX公司</w:t>
      </w:r>
      <w:r>
        <w:rPr>
          <w:rFonts w:hint="eastAsia" w:ascii="Times New Roman" w:hAnsi="Times New Roman" w:eastAsia="黑体" w:cs="黑体"/>
          <w:bCs/>
          <w:snapToGrid w:val="0"/>
          <w:kern w:val="0"/>
          <w:szCs w:val="21"/>
          <w:highlight w:val="none"/>
          <w:u w:val="single"/>
        </w:rPr>
        <w:t xml:space="preserve">   </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u w:val="single"/>
          <w:lang w:eastAsia="zh-CN"/>
        </w:rPr>
        <w:t>深圳安联尚璟府项目智慧泵房研究及应用服务</w:t>
      </w:r>
      <w:r>
        <w:rPr>
          <w:rFonts w:hint="eastAsia" w:ascii="Times New Roman" w:hAnsi="Times New Roman" w:eastAsia="黑体" w:cs="黑体"/>
          <w:bCs/>
          <w:snapToGrid w:val="0"/>
          <w:kern w:val="0"/>
          <w:szCs w:val="21"/>
          <w:highlight w:val="none"/>
        </w:rPr>
        <w:t>合同包响应文件</w:t>
      </w:r>
    </w:p>
    <w:p>
      <w:pPr>
        <w:spacing w:line="440" w:lineRule="exact"/>
        <w:ind w:firstLine="420"/>
        <w:rPr>
          <w:rFonts w:ascii="Times New Roman" w:hAnsi="Times New Roman" w:eastAsia="黑体" w:cs="黑体"/>
          <w:highlight w:val="none"/>
        </w:rPr>
      </w:pPr>
      <w:r>
        <w:rPr>
          <w:rFonts w:hint="eastAsia" w:ascii="Times New Roman" w:hAnsi="Times New Roman" w:eastAsia="黑体" w:cs="黑体"/>
          <w:bCs/>
          <w:snapToGrid w:val="0"/>
          <w:kern w:val="0"/>
          <w:szCs w:val="21"/>
          <w:highlight w:val="none"/>
        </w:rPr>
        <w:t>在</w:t>
      </w:r>
      <w:r>
        <w:rPr>
          <w:rFonts w:hint="eastAsia" w:ascii="Times New Roman" w:hAnsi="Times New Roman" w:eastAsia="黑体" w:cs="黑体"/>
          <w:bCs/>
          <w:snapToGrid w:val="0"/>
          <w:kern w:val="0"/>
          <w:szCs w:val="21"/>
          <w:highlight w:val="none"/>
          <w:u w:val="single"/>
          <w:lang w:val="en-US" w:eastAsia="zh-CN"/>
        </w:rPr>
        <w:t>2023</w:t>
      </w:r>
      <w:r>
        <w:rPr>
          <w:rFonts w:hint="eastAsia" w:ascii="Times New Roman" w:hAnsi="Times New Roman" w:eastAsia="黑体" w:cs="黑体"/>
          <w:bCs/>
          <w:snapToGrid w:val="0"/>
          <w:kern w:val="0"/>
          <w:szCs w:val="21"/>
          <w:highlight w:val="none"/>
        </w:rPr>
        <w:t>年</w:t>
      </w:r>
      <w:r>
        <w:rPr>
          <w:rFonts w:hint="eastAsia" w:ascii="Times New Roman" w:hAnsi="Times New Roman" w:eastAsia="黑体" w:cs="黑体"/>
          <w:bCs/>
          <w:snapToGrid w:val="0"/>
          <w:kern w:val="0"/>
          <w:szCs w:val="21"/>
          <w:highlight w:val="none"/>
          <w:u w:val="single"/>
          <w:lang w:val="en-US" w:eastAsia="zh-CN"/>
        </w:rPr>
        <w:t xml:space="preserve"> 6 </w:t>
      </w:r>
      <w:r>
        <w:rPr>
          <w:rFonts w:hint="eastAsia" w:ascii="Times New Roman" w:hAnsi="Times New Roman" w:eastAsia="黑体" w:cs="黑体"/>
          <w:bCs/>
          <w:snapToGrid w:val="0"/>
          <w:kern w:val="0"/>
          <w:szCs w:val="21"/>
          <w:highlight w:val="none"/>
        </w:rPr>
        <w:t>月</w:t>
      </w:r>
      <w:r>
        <w:rPr>
          <w:rFonts w:hint="eastAsia" w:ascii="Times New Roman" w:hAnsi="Times New Roman" w:eastAsia="黑体" w:cs="黑体"/>
          <w:bCs/>
          <w:snapToGrid w:val="0"/>
          <w:kern w:val="0"/>
          <w:szCs w:val="21"/>
          <w:highlight w:val="none"/>
          <w:u w:val="single"/>
          <w:lang w:val="en-US" w:eastAsia="zh-CN"/>
        </w:rPr>
        <w:t xml:space="preserve"> 6 </w:t>
      </w:r>
      <w:r>
        <w:rPr>
          <w:rFonts w:hint="eastAsia" w:ascii="Times New Roman" w:hAnsi="Times New Roman" w:eastAsia="黑体" w:cs="黑体"/>
          <w:bCs/>
          <w:snapToGrid w:val="0"/>
          <w:kern w:val="0"/>
          <w:szCs w:val="21"/>
          <w:highlight w:val="none"/>
        </w:rPr>
        <w:t>日</w:t>
      </w:r>
      <w:r>
        <w:rPr>
          <w:rFonts w:hint="eastAsia" w:ascii="Times New Roman" w:hAnsi="Times New Roman" w:eastAsia="黑体" w:cs="黑体"/>
          <w:bCs/>
          <w:snapToGrid w:val="0"/>
          <w:kern w:val="0"/>
          <w:szCs w:val="21"/>
          <w:highlight w:val="none"/>
          <w:u w:val="single"/>
          <w:lang w:val="en-US" w:eastAsia="zh-CN"/>
        </w:rPr>
        <w:t xml:space="preserve"> 14 </w:t>
      </w:r>
      <w:r>
        <w:rPr>
          <w:rFonts w:hint="eastAsia" w:ascii="Times New Roman" w:hAnsi="Times New Roman" w:eastAsia="黑体" w:cs="黑体"/>
          <w:bCs/>
          <w:snapToGrid w:val="0"/>
          <w:kern w:val="0"/>
          <w:szCs w:val="21"/>
          <w:highlight w:val="none"/>
        </w:rPr>
        <w:t>时</w:t>
      </w:r>
      <w:r>
        <w:rPr>
          <w:rFonts w:hint="eastAsia" w:ascii="Times New Roman" w:hAnsi="Times New Roman" w:eastAsia="黑体" w:cs="黑体"/>
          <w:bCs/>
          <w:snapToGrid w:val="0"/>
          <w:kern w:val="0"/>
          <w:szCs w:val="21"/>
          <w:highlight w:val="none"/>
          <w:u w:val="single"/>
          <w:lang w:val="en-US" w:eastAsia="zh-CN"/>
        </w:rPr>
        <w:t xml:space="preserve"> 00 </w:t>
      </w:r>
      <w:r>
        <w:rPr>
          <w:rFonts w:hint="eastAsia" w:ascii="Times New Roman" w:hAnsi="Times New Roman" w:eastAsia="黑体" w:cs="黑体"/>
          <w:bCs/>
          <w:snapToGrid w:val="0"/>
          <w:kern w:val="0"/>
          <w:szCs w:val="21"/>
          <w:highlight w:val="none"/>
        </w:rPr>
        <w:t>分（递交响应文件的截止时间）前不得开启</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4.1.2</w:t>
      </w:r>
      <w:r>
        <w:rPr>
          <w:rFonts w:ascii="Times New Roman" w:hAnsi="Times New Roman"/>
          <w:highlight w:val="none"/>
        </w:rPr>
        <w:t>未按本章第4.1.1项</w:t>
      </w:r>
      <w:r>
        <w:rPr>
          <w:rFonts w:ascii="Times New Roman" w:hAnsi="Times New Roman" w:cs="Times New Roman"/>
          <w:highlight w:val="none"/>
        </w:rPr>
        <w:t>要求</w:t>
      </w:r>
      <w:r>
        <w:rPr>
          <w:rFonts w:ascii="Times New Roman" w:hAnsi="Times New Roman"/>
          <w:highlight w:val="none"/>
        </w:rPr>
        <w:t>密封的</w:t>
      </w:r>
      <w:r>
        <w:rPr>
          <w:rFonts w:hint="eastAsia" w:ascii="Times New Roman" w:hAnsi="Times New Roman"/>
          <w:highlight w:val="none"/>
        </w:rPr>
        <w:t>响应文件</w:t>
      </w:r>
      <w:r>
        <w:rPr>
          <w:rFonts w:ascii="Times New Roman" w:hAnsi="Times New Roman"/>
          <w:highlight w:val="none"/>
        </w:rPr>
        <w:t>，</w:t>
      </w:r>
      <w:r>
        <w:rPr>
          <w:rFonts w:hint="eastAsia" w:ascii="Times New Roman" w:hAnsi="Times New Roman"/>
          <w:highlight w:val="none"/>
        </w:rPr>
        <w:t>采购人</w:t>
      </w:r>
      <w:r>
        <w:rPr>
          <w:rFonts w:ascii="Times New Roman" w:hAnsi="Times New Roman"/>
          <w:highlight w:val="none"/>
        </w:rPr>
        <w:t>将予以拒收。</w:t>
      </w:r>
    </w:p>
    <w:p>
      <w:pPr>
        <w:keepNext/>
        <w:keepLines/>
        <w:spacing w:before="120" w:after="120"/>
        <w:outlineLvl w:val="2"/>
        <w:rPr>
          <w:rFonts w:ascii="Times New Roman" w:hAnsi="Times New Roman" w:eastAsia="黑体" w:cs="Times New Roman"/>
          <w:bCs/>
          <w:sz w:val="24"/>
          <w:szCs w:val="32"/>
          <w:highlight w:val="none"/>
        </w:rPr>
      </w:pPr>
      <w:bookmarkStart w:id="99" w:name="_Toc14201235"/>
      <w:bookmarkStart w:id="100" w:name="_Toc26656966"/>
      <w:r>
        <w:rPr>
          <w:rFonts w:ascii="Times New Roman" w:hAnsi="Times New Roman" w:eastAsia="黑体" w:cs="Times New Roman"/>
          <w:bCs/>
          <w:sz w:val="24"/>
          <w:szCs w:val="32"/>
          <w:highlight w:val="none"/>
        </w:rPr>
        <w:t>4.2 响应文件的递交</w:t>
      </w:r>
      <w:bookmarkEnd w:id="99"/>
      <w:bookmarkEnd w:id="100"/>
    </w:p>
    <w:p>
      <w:pPr>
        <w:spacing w:line="440" w:lineRule="exact"/>
        <w:ind w:firstLine="420"/>
        <w:rPr>
          <w:rFonts w:ascii="Times New Roman" w:hAnsi="Times New Roman" w:cs="Times New Roman"/>
          <w:highlight w:val="none"/>
        </w:rPr>
      </w:pPr>
      <w:r>
        <w:rPr>
          <w:rFonts w:ascii="Times New Roman" w:hAnsi="Times New Roman" w:cs="Times New Roman"/>
          <w:highlight w:val="none"/>
        </w:rPr>
        <w:t>4.2.1供应商应当</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第5条的规定递交响应文件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4.2.</w:t>
      </w:r>
      <w:r>
        <w:rPr>
          <w:rFonts w:hint="eastAsia" w:ascii="Times New Roman" w:hAnsi="Times New Roman" w:cs="Times New Roman"/>
          <w:highlight w:val="none"/>
        </w:rPr>
        <w:t>2</w:t>
      </w:r>
      <w:r>
        <w:rPr>
          <w:rFonts w:ascii="Times New Roman" w:hAnsi="Times New Roman" w:cs="Times New Roman"/>
          <w:highlight w:val="none"/>
        </w:rPr>
        <w:t xml:space="preserve"> </w:t>
      </w:r>
      <w:r>
        <w:rPr>
          <w:rFonts w:hint="eastAsia" w:ascii="Times New Roman" w:hAnsi="Times New Roman" w:cs="Times New Roman"/>
          <w:highlight w:val="none"/>
        </w:rPr>
        <w:t>递交响应文件的供应商数量不足3家时，采购人将宣布本次采购失败，并退还已递交的响应文件。</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4.2.3 除第4.2.2项规定外，</w:t>
      </w:r>
      <w:r>
        <w:rPr>
          <w:rFonts w:ascii="Times New Roman" w:hAnsi="Times New Roman" w:cs="Times New Roman"/>
          <w:highlight w:val="none"/>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1" w:name="_Toc14201237"/>
      <w:bookmarkStart w:id="102" w:name="_Toc26656968"/>
      <w:bookmarkStart w:id="103" w:name="_Toc9067724"/>
      <w:r>
        <w:rPr>
          <w:rFonts w:ascii="Times New Roman" w:hAnsi="Times New Roman" w:eastAsia="黑体" w:cs="Times New Roman"/>
          <w:bCs/>
          <w:sz w:val="24"/>
          <w:szCs w:val="32"/>
          <w:highlight w:val="none"/>
        </w:rPr>
        <w:t xml:space="preserve">5. </w:t>
      </w:r>
      <w:bookmarkEnd w:id="101"/>
      <w:bookmarkEnd w:id="102"/>
      <w:bookmarkEnd w:id="103"/>
      <w:r>
        <w:rPr>
          <w:rFonts w:ascii="Times New Roman" w:hAnsi="Times New Roman" w:eastAsia="黑体" w:cs="Times New Roman"/>
          <w:bCs/>
          <w:sz w:val="24"/>
          <w:szCs w:val="32"/>
          <w:highlight w:val="none"/>
        </w:rPr>
        <w:t>启封</w:t>
      </w:r>
    </w:p>
    <w:p>
      <w:pPr>
        <w:keepNext/>
        <w:keepLines/>
        <w:spacing w:before="120" w:after="120"/>
        <w:outlineLvl w:val="2"/>
        <w:rPr>
          <w:rFonts w:ascii="Times New Roman" w:hAnsi="Times New Roman" w:eastAsia="黑体" w:cs="Times New Roman"/>
          <w:bCs/>
          <w:sz w:val="24"/>
          <w:szCs w:val="32"/>
          <w:highlight w:val="none"/>
        </w:rPr>
      </w:pPr>
      <w:bookmarkStart w:id="104" w:name="_Toc26656969"/>
      <w:bookmarkStart w:id="105" w:name="_Toc14201238"/>
      <w:r>
        <w:rPr>
          <w:rFonts w:ascii="Times New Roman" w:hAnsi="Times New Roman" w:eastAsia="黑体" w:cs="Times New Roman"/>
          <w:bCs/>
          <w:sz w:val="24"/>
          <w:szCs w:val="32"/>
          <w:highlight w:val="none"/>
        </w:rPr>
        <w:t>5.1 启封时间和地点</w:t>
      </w:r>
      <w:bookmarkEnd w:id="104"/>
      <w:bookmarkEnd w:id="105"/>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采购人在本章第4.2.1项规定的响应文件递交截止时间（启封时间），</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第6条的规定进行启封</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highlight w:val="none"/>
        </w:rPr>
      </w:pPr>
      <w:bookmarkStart w:id="106" w:name="_Toc26656970"/>
      <w:bookmarkStart w:id="107" w:name="_Toc14201239"/>
      <w:r>
        <w:rPr>
          <w:rFonts w:ascii="Times New Roman" w:hAnsi="Times New Roman" w:eastAsia="黑体" w:cs="Times New Roman"/>
          <w:bCs/>
          <w:sz w:val="24"/>
          <w:szCs w:val="32"/>
          <w:highlight w:val="none"/>
        </w:rPr>
        <w:t>5.2</w:t>
      </w:r>
      <w:r>
        <w:rPr>
          <w:rFonts w:hint="eastAsia" w:ascii="Times New Roman" w:hAnsi="Times New Roman" w:eastAsia="黑体" w:cs="Times New Roman"/>
          <w:bCs/>
          <w:sz w:val="24"/>
          <w:szCs w:val="32"/>
          <w:highlight w:val="none"/>
        </w:rPr>
        <w:t>启封</w:t>
      </w:r>
      <w:r>
        <w:rPr>
          <w:rFonts w:ascii="Times New Roman" w:hAnsi="Times New Roman" w:eastAsia="黑体" w:cs="Times New Roman"/>
          <w:bCs/>
          <w:sz w:val="24"/>
          <w:szCs w:val="32"/>
          <w:highlight w:val="none"/>
        </w:rPr>
        <w:t>程序</w:t>
      </w:r>
      <w:bookmarkEnd w:id="106"/>
      <w:bookmarkEnd w:id="107"/>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5.2.1主持人按下列程序进行启封：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（1）公布在响应文件递交截止时间</w:t>
      </w:r>
      <w:r>
        <w:rPr>
          <w:rFonts w:hint="eastAsia" w:ascii="Times New Roman" w:hAnsi="Times New Roman" w:cs="Times New Roman"/>
          <w:highlight w:val="none"/>
        </w:rPr>
        <w:t>前</w:t>
      </w:r>
      <w:r>
        <w:rPr>
          <w:rFonts w:ascii="Times New Roman" w:hAnsi="Times New Roman" w:cs="Times New Roman"/>
          <w:highlight w:val="none"/>
        </w:rPr>
        <w:t>递交响应文件的供应商名称；</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（2）由供应商推选的代表检查响应文件的密封情况； </w:t>
      </w:r>
    </w:p>
    <w:p>
      <w:pPr>
        <w:spacing w:line="440" w:lineRule="exact"/>
        <w:ind w:firstLine="420"/>
        <w:rPr>
          <w:rFonts w:ascii="Times New Roman" w:hAnsi="Times New Roman" w:cs="Times New Roman"/>
          <w:bCs/>
          <w:highlight w:val="none"/>
        </w:rPr>
      </w:pPr>
      <w:r>
        <w:rPr>
          <w:rFonts w:ascii="Times New Roman" w:hAnsi="Times New Roman" w:cs="Times New Roman"/>
          <w:highlight w:val="none"/>
        </w:rPr>
        <w:t>（3）</w:t>
      </w:r>
      <w:r>
        <w:rPr>
          <w:rFonts w:ascii="Times New Roman" w:hAnsi="Times New Roman" w:cs="Times New Roman"/>
          <w:bCs/>
          <w:highlight w:val="none"/>
        </w:rPr>
        <w:t>对响应文件进行启封，公布供应商名称、合同包名称、报价、质量目标、安全目标、</w:t>
      </w:r>
      <w:r>
        <w:rPr>
          <w:rFonts w:hint="eastAsia" w:ascii="Times New Roman" w:hAnsi="Times New Roman" w:cs="Times New Roman"/>
          <w:bCs/>
          <w:highlight w:val="none"/>
        </w:rPr>
        <w:t>服务</w:t>
      </w:r>
      <w:r>
        <w:rPr>
          <w:rFonts w:ascii="Times New Roman" w:hAnsi="Times New Roman" w:cs="Times New Roman"/>
          <w:bCs/>
          <w:highlight w:val="none"/>
        </w:rPr>
        <w:t>期、响应保证金递交情况及其他内容；</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4</w:t>
      </w:r>
      <w:r>
        <w:rPr>
          <w:rFonts w:ascii="Times New Roman" w:hAnsi="Times New Roman" w:cs="Times New Roman"/>
          <w:bCs/>
          <w:highlight w:val="none"/>
        </w:rPr>
        <w:t>）</w:t>
      </w:r>
      <w:r>
        <w:rPr>
          <w:rFonts w:hint="eastAsia" w:ascii="Times New Roman" w:hAnsi="Times New Roman"/>
          <w:highlight w:val="none"/>
        </w:rPr>
        <w:t>供应商</w:t>
      </w:r>
      <w:r>
        <w:rPr>
          <w:rFonts w:ascii="Times New Roman" w:hAnsi="Times New Roman"/>
          <w:highlight w:val="none"/>
        </w:rPr>
        <w:t>代表、</w:t>
      </w:r>
      <w:r>
        <w:rPr>
          <w:rFonts w:hint="eastAsia" w:ascii="Times New Roman" w:hAnsi="Times New Roman"/>
          <w:highlight w:val="none"/>
        </w:rPr>
        <w:t>采购</w:t>
      </w:r>
      <w:r>
        <w:rPr>
          <w:rFonts w:ascii="Times New Roman" w:hAnsi="Times New Roman"/>
          <w:highlight w:val="none"/>
        </w:rPr>
        <w:t>人代表、记录人等有关人员在</w:t>
      </w:r>
      <w:r>
        <w:rPr>
          <w:rFonts w:hint="eastAsia" w:ascii="Times New Roman" w:hAnsi="Times New Roman"/>
          <w:highlight w:val="none"/>
        </w:rPr>
        <w:t>启封</w:t>
      </w:r>
      <w:r>
        <w:rPr>
          <w:rFonts w:ascii="Times New Roman" w:hAnsi="Times New Roman"/>
          <w:highlight w:val="none"/>
        </w:rPr>
        <w:t>记录上</w:t>
      </w:r>
      <w:r>
        <w:rPr>
          <w:rFonts w:hint="eastAsia" w:ascii="Times New Roman" w:hAnsi="Times New Roman"/>
          <w:highlight w:val="none"/>
        </w:rPr>
        <w:t>签名</w:t>
      </w:r>
      <w:r>
        <w:rPr>
          <w:rFonts w:ascii="Times New Roman" w:hAnsi="Times New Roman"/>
          <w:highlight w:val="none"/>
        </w:rPr>
        <w:t>确认；</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5</w:t>
      </w:r>
      <w:r>
        <w:rPr>
          <w:rFonts w:ascii="Times New Roman" w:hAnsi="Times New Roman" w:cs="Times New Roman"/>
          <w:bCs/>
          <w:highlight w:val="none"/>
        </w:rPr>
        <w:t>）</w:t>
      </w:r>
      <w:r>
        <w:rPr>
          <w:rFonts w:hint="eastAsia" w:ascii="Times New Roman" w:hAnsi="Times New Roman" w:cs="Times New Roman"/>
          <w:bCs/>
          <w:highlight w:val="none"/>
        </w:rPr>
        <w:t>启封</w:t>
      </w:r>
      <w:r>
        <w:rPr>
          <w:rFonts w:ascii="Times New Roman" w:hAnsi="Times New Roman" w:cs="Times New Roman"/>
          <w:highlight w:val="none"/>
        </w:rPr>
        <w:t>结束</w:t>
      </w:r>
      <w:r>
        <w:rPr>
          <w:rFonts w:ascii="Times New Roman" w:hAnsi="Times New Roman" w:cs="Times New Roman"/>
          <w:bCs/>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5.2.2</w:t>
      </w:r>
      <w:r>
        <w:rPr>
          <w:rFonts w:ascii="Times New Roman" w:hAnsi="Times New Roman" w:cs="Times New Roman"/>
          <w:highlight w:val="none"/>
        </w:rPr>
        <w:t>供应商</w:t>
      </w:r>
      <w:r>
        <w:rPr>
          <w:rFonts w:hint="eastAsia" w:ascii="Times New Roman" w:hAnsi="Times New Roman" w:cs="Times New Roman"/>
          <w:highlight w:val="none"/>
        </w:rPr>
        <w:t>在</w:t>
      </w:r>
      <w:r>
        <w:rPr>
          <w:rFonts w:ascii="Times New Roman" w:hAnsi="Times New Roman" w:cs="Times New Roman"/>
          <w:highlight w:val="none"/>
        </w:rPr>
        <w:t>启封过程</w:t>
      </w:r>
      <w:r>
        <w:rPr>
          <w:rFonts w:hint="eastAsia" w:ascii="Times New Roman" w:hAnsi="Times New Roman" w:cs="Times New Roman"/>
          <w:highlight w:val="none"/>
        </w:rPr>
        <w:t>中</w:t>
      </w:r>
      <w:r>
        <w:rPr>
          <w:rFonts w:ascii="Times New Roman" w:hAnsi="Times New Roman" w:cs="Times New Roman"/>
          <w:highlight w:val="none"/>
        </w:rPr>
        <w:t>有</w:t>
      </w:r>
      <w:r>
        <w:rPr>
          <w:rFonts w:hint="eastAsia" w:ascii="Times New Roman" w:hAnsi="Times New Roman" w:cs="Times New Roman"/>
          <w:highlight w:val="none"/>
        </w:rPr>
        <w:t>疑问</w:t>
      </w:r>
      <w:r>
        <w:rPr>
          <w:rFonts w:ascii="Times New Roman" w:hAnsi="Times New Roman" w:cs="Times New Roman"/>
          <w:highlight w:val="none"/>
        </w:rPr>
        <w:t>的，应当在</w:t>
      </w:r>
      <w:r>
        <w:rPr>
          <w:rFonts w:hint="eastAsia" w:ascii="Times New Roman" w:hAnsi="Times New Roman" w:cs="Times New Roman"/>
          <w:highlight w:val="none"/>
        </w:rPr>
        <w:t>现场</w:t>
      </w:r>
      <w:r>
        <w:rPr>
          <w:rFonts w:ascii="Times New Roman" w:hAnsi="Times New Roman" w:cs="Times New Roman"/>
          <w:highlight w:val="none"/>
        </w:rPr>
        <w:t>提出</w:t>
      </w:r>
      <w:r>
        <w:rPr>
          <w:rFonts w:hint="eastAsia" w:ascii="Times New Roman" w:hAnsi="Times New Roman" w:cs="Times New Roman"/>
          <w:highlight w:val="none"/>
        </w:rPr>
        <w:t>，</w:t>
      </w:r>
      <w:r>
        <w:rPr>
          <w:rFonts w:ascii="Times New Roman" w:hAnsi="Times New Roman" w:cs="Times New Roman"/>
          <w:highlight w:val="none"/>
        </w:rPr>
        <w:t>采购人</w:t>
      </w:r>
      <w:r>
        <w:rPr>
          <w:rFonts w:hint="eastAsia" w:ascii="Times New Roman" w:hAnsi="Times New Roman" w:cs="Times New Roman"/>
          <w:highlight w:val="none"/>
        </w:rPr>
        <w:t>将</w:t>
      </w:r>
      <w:r>
        <w:rPr>
          <w:rFonts w:ascii="Times New Roman" w:hAnsi="Times New Roman" w:cs="Times New Roman"/>
          <w:highlight w:val="none"/>
        </w:rPr>
        <w:t>当场作出答复。</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8" w:name="_Toc9067725"/>
      <w:bookmarkStart w:id="109" w:name="_Toc26656972"/>
      <w:bookmarkStart w:id="110" w:name="_Toc14201241"/>
      <w:r>
        <w:rPr>
          <w:rFonts w:ascii="Times New Roman" w:hAnsi="Times New Roman" w:eastAsia="黑体" w:cs="Times New Roman"/>
          <w:bCs/>
          <w:sz w:val="24"/>
          <w:szCs w:val="32"/>
          <w:highlight w:val="none"/>
        </w:rPr>
        <w:t>6. 评</w:t>
      </w:r>
      <w:bookmarkEnd w:id="108"/>
      <w:bookmarkEnd w:id="109"/>
      <w:bookmarkEnd w:id="110"/>
      <w:r>
        <w:rPr>
          <w:rFonts w:ascii="Times New Roman" w:hAnsi="Times New Roman" w:eastAsia="黑体" w:cs="Times New Roman"/>
          <w:bCs/>
          <w:sz w:val="24"/>
          <w:szCs w:val="32"/>
          <w:highlight w:val="none"/>
        </w:rPr>
        <w:t>审</w:t>
      </w:r>
    </w:p>
    <w:p>
      <w:pPr>
        <w:keepNext/>
        <w:keepLines/>
        <w:spacing w:before="120" w:after="120"/>
        <w:outlineLvl w:val="2"/>
        <w:rPr>
          <w:rFonts w:ascii="Times New Roman" w:hAnsi="Times New Roman" w:eastAsia="黑体" w:cs="Times New Roman"/>
          <w:bCs/>
          <w:sz w:val="24"/>
          <w:szCs w:val="32"/>
          <w:highlight w:val="none"/>
        </w:rPr>
      </w:pPr>
      <w:bookmarkStart w:id="111" w:name="_Toc14201242"/>
      <w:bookmarkStart w:id="112" w:name="_Toc26656973"/>
      <w:r>
        <w:rPr>
          <w:rFonts w:ascii="Times New Roman" w:hAnsi="Times New Roman" w:eastAsia="黑体" w:cs="Times New Roman"/>
          <w:bCs/>
          <w:sz w:val="24"/>
          <w:szCs w:val="32"/>
          <w:highlight w:val="none"/>
        </w:rPr>
        <w:t>6.1</w:t>
      </w:r>
      <w:bookmarkEnd w:id="111"/>
      <w:bookmarkEnd w:id="112"/>
      <w:r>
        <w:rPr>
          <w:rFonts w:hint="eastAsia" w:ascii="Times New Roman" w:hAnsi="Times New Roman" w:eastAsia="黑体" w:cs="Times New Roman"/>
          <w:bCs/>
          <w:sz w:val="24"/>
          <w:szCs w:val="32"/>
          <w:highlight w:val="none"/>
        </w:rPr>
        <w:t>评审小组</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评审由采购人</w:t>
      </w:r>
      <w:r>
        <w:rPr>
          <w:rFonts w:hint="eastAsia" w:ascii="Times New Roman" w:hAnsi="Times New Roman" w:cs="Times New Roman"/>
          <w:highlight w:val="none"/>
        </w:rPr>
        <w:t>自行</w:t>
      </w:r>
      <w:r>
        <w:rPr>
          <w:rFonts w:ascii="Times New Roman" w:hAnsi="Times New Roman" w:cs="Times New Roman"/>
          <w:highlight w:val="none"/>
        </w:rPr>
        <w:t>组建的</w:t>
      </w:r>
      <w:r>
        <w:rPr>
          <w:rFonts w:hint="eastAsia" w:ascii="Times New Roman" w:hAnsi="Times New Roman" w:cs="Times New Roman"/>
          <w:highlight w:val="none"/>
        </w:rPr>
        <w:t>评审小组</w:t>
      </w:r>
      <w:r>
        <w:rPr>
          <w:rFonts w:ascii="Times New Roman" w:hAnsi="Times New Roman" w:cs="Times New Roman"/>
          <w:highlight w:val="none"/>
        </w:rPr>
        <w:t>负责。</w:t>
      </w:r>
      <w:r>
        <w:rPr>
          <w:rFonts w:hint="eastAsia" w:ascii="Times New Roman" w:hAnsi="Times New Roman" w:cs="Times New Roman"/>
          <w:highlight w:val="none"/>
        </w:rPr>
        <w:t>评审小组人数：3~7人（单数）</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113" w:name="_Toc26656975"/>
      <w:bookmarkStart w:id="114" w:name="_Toc14201244"/>
      <w:r>
        <w:rPr>
          <w:rFonts w:ascii="Times New Roman" w:hAnsi="Times New Roman" w:eastAsia="黑体" w:cs="Times New Roman"/>
          <w:bCs/>
          <w:sz w:val="24"/>
          <w:szCs w:val="32"/>
          <w:highlight w:val="none"/>
        </w:rPr>
        <w:t>6.</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评</w:t>
      </w:r>
      <w:bookmarkEnd w:id="113"/>
      <w:bookmarkEnd w:id="114"/>
      <w:r>
        <w:rPr>
          <w:rFonts w:ascii="Times New Roman" w:hAnsi="Times New Roman" w:eastAsia="黑体" w:cs="Times New Roman"/>
          <w:bCs/>
          <w:sz w:val="24"/>
          <w:szCs w:val="32"/>
          <w:highlight w:val="none"/>
        </w:rPr>
        <w:t>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.1</w:t>
      </w:r>
      <w:r>
        <w:rPr>
          <w:rFonts w:hint="eastAsia" w:ascii="Times New Roman" w:hAnsi="Times New Roman" w:cs="Times New Roman"/>
          <w:highlight w:val="none"/>
        </w:rPr>
        <w:t>评审小组</w:t>
      </w:r>
      <w:r>
        <w:rPr>
          <w:rFonts w:ascii="Times New Roman" w:hAnsi="Times New Roman" w:cs="Times New Roman"/>
          <w:highlight w:val="none"/>
        </w:rPr>
        <w:t>按照第三章“评审办法”规定的方法、评审因素、标准和程序对响应文件进行评审。</w:t>
      </w:r>
    </w:p>
    <w:p>
      <w:pPr>
        <w:spacing w:line="440" w:lineRule="exact"/>
        <w:ind w:firstLine="420"/>
        <w:rPr>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rPr>
        <w:t>2若递交响应文件的供应商数量达到3家及以上，但仅有2家供应商通过初步评审，经评审小组评判此2家供应商仍具有竞争性，即可以继续进行评审。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rPr>
        <w:t>3</w:t>
      </w:r>
      <w:r>
        <w:rPr>
          <w:rFonts w:ascii="Times New Roman" w:hAnsi="Times New Roman" w:cs="Times New Roman"/>
          <w:highlight w:val="none"/>
        </w:rPr>
        <w:t>评审完成后，</w:t>
      </w:r>
      <w:r>
        <w:rPr>
          <w:rFonts w:hint="eastAsia" w:ascii="Times New Roman" w:hAnsi="Times New Roman" w:cs="Times New Roman"/>
          <w:highlight w:val="none"/>
        </w:rPr>
        <w:t>评审小组</w:t>
      </w:r>
      <w:r>
        <w:rPr>
          <w:rFonts w:ascii="Times New Roman" w:hAnsi="Times New Roman" w:cs="Times New Roman"/>
          <w:highlight w:val="none"/>
        </w:rPr>
        <w:t>应向采购人提交书面评审报告和成交候选人名单。</w:t>
      </w:r>
      <w:r>
        <w:rPr>
          <w:rFonts w:hint="eastAsia" w:ascii="Times New Roman" w:hAnsi="Times New Roman" w:cs="Times New Roman"/>
          <w:highlight w:val="none"/>
        </w:rPr>
        <w:t>评审小组</w:t>
      </w:r>
      <w:r>
        <w:rPr>
          <w:rFonts w:ascii="Times New Roman" w:hAnsi="Times New Roman" w:cs="Times New Roman"/>
          <w:highlight w:val="none"/>
        </w:rPr>
        <w:t>推荐成交候选人的人数</w:t>
      </w:r>
      <w:r>
        <w:rPr>
          <w:rFonts w:hint="eastAsia" w:ascii="Times New Roman" w:hAnsi="Times New Roman" w:cs="Times New Roman"/>
          <w:highlight w:val="none"/>
        </w:rPr>
        <w:t>为：3人（如不足3人，可以按实际数量推荐）</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15" w:name="_Toc9067726"/>
      <w:bookmarkStart w:id="116" w:name="_Toc14201245"/>
      <w:bookmarkStart w:id="117" w:name="_Toc26656976"/>
      <w:r>
        <w:rPr>
          <w:rFonts w:ascii="Times New Roman" w:hAnsi="Times New Roman" w:eastAsia="黑体" w:cs="Times New Roman"/>
          <w:bCs/>
          <w:sz w:val="24"/>
          <w:szCs w:val="32"/>
          <w:highlight w:val="none"/>
        </w:rPr>
        <w:t>7. 合同授予</w:t>
      </w:r>
      <w:bookmarkEnd w:id="115"/>
      <w:bookmarkEnd w:id="116"/>
      <w:bookmarkEnd w:id="117"/>
    </w:p>
    <w:p>
      <w:pPr>
        <w:keepNext/>
        <w:keepLines/>
        <w:spacing w:before="120" w:after="120"/>
        <w:outlineLvl w:val="2"/>
        <w:rPr>
          <w:rFonts w:ascii="Times New Roman" w:hAnsi="Times New Roman" w:eastAsia="黑体" w:cs="Times New Roman"/>
          <w:bCs/>
          <w:sz w:val="24"/>
          <w:szCs w:val="32"/>
          <w:highlight w:val="none"/>
        </w:rPr>
      </w:pPr>
      <w:bookmarkStart w:id="118" w:name="_Toc14201246"/>
      <w:bookmarkStart w:id="119" w:name="_Toc26656977"/>
      <w:r>
        <w:rPr>
          <w:rFonts w:ascii="Times New Roman" w:hAnsi="Times New Roman" w:eastAsia="黑体" w:cs="Times New Roman"/>
          <w:bCs/>
          <w:sz w:val="24"/>
          <w:szCs w:val="32"/>
          <w:highlight w:val="none"/>
        </w:rPr>
        <w:t>7.1成交候选人公示</w:t>
      </w:r>
      <w:bookmarkEnd w:id="118"/>
      <w:bookmarkEnd w:id="119"/>
    </w:p>
    <w:p>
      <w:pPr>
        <w:spacing w:line="440" w:lineRule="exact"/>
        <w:ind w:firstLine="420"/>
        <w:rPr>
          <w:rFonts w:ascii="Times New Roman" w:hAnsi="Times New Roman" w:cs="Times New Roman"/>
          <w:highlight w:val="none"/>
        </w:rPr>
      </w:pPr>
      <w:r>
        <w:rPr>
          <w:rFonts w:ascii="Times New Roman" w:hAnsi="Times New Roman" w:cs="Times New Roman"/>
          <w:highlight w:val="none"/>
        </w:rPr>
        <w:t>采用公开询比方式采购的项目，</w:t>
      </w:r>
      <w:r>
        <w:rPr>
          <w:rFonts w:hint="eastAsia" w:ascii="Times New Roman" w:hAnsi="Times New Roman" w:cs="Times New Roman"/>
          <w:highlight w:val="none"/>
        </w:rPr>
        <w:t>成交候选人将于</w:t>
      </w:r>
      <w:r>
        <w:rPr>
          <w:rFonts w:hint="eastAsia" w:ascii="Times New Roman" w:hAnsi="Times New Roman" w:cs="Times New Roman"/>
          <w:highlight w:val="none"/>
          <w:u w:val="single"/>
        </w:rPr>
        <w:t xml:space="preserve"> </w:t>
      </w:r>
      <w:r>
        <w:rPr>
          <w:rFonts w:hint="eastAsia" w:ascii="Times New Roman" w:hAnsi="Times New Roman" w:cs="Times New Roman"/>
          <w:highlight w:val="none"/>
          <w:u w:val="single"/>
          <w:lang w:val="en-US" w:eastAsia="zh-CN"/>
        </w:rPr>
        <w:t>安徽安联高速公路有限公司官网</w:t>
      </w:r>
      <w:r>
        <w:rPr>
          <w:rFonts w:hint="eastAsia" w:ascii="Times New Roman" w:hAnsi="Times New Roman" w:cs="Times New Roman"/>
          <w:highlight w:val="none"/>
          <w:u w:val="single"/>
        </w:rPr>
        <w:t xml:space="preserve"> </w:t>
      </w:r>
      <w:r>
        <w:rPr>
          <w:rFonts w:hint="eastAsia" w:ascii="Times New Roman" w:hAnsi="Times New Roman" w:cs="Times New Roman"/>
          <w:highlight w:val="none"/>
        </w:rPr>
        <w:t>公示，</w:t>
      </w:r>
      <w:r>
        <w:rPr>
          <w:rFonts w:ascii="Times New Roman" w:hAnsi="Times New Roman" w:cs="Times New Roman"/>
          <w:highlight w:val="none"/>
        </w:rPr>
        <w:t>公示期不得少于2日。</w:t>
      </w:r>
    </w:p>
    <w:p>
      <w:pPr>
        <w:keepNext/>
        <w:keepLines/>
        <w:spacing w:before="120" w:after="120"/>
        <w:outlineLvl w:val="2"/>
        <w:rPr>
          <w:rFonts w:ascii="Times New Roman" w:hAnsi="Times New Roman" w:eastAsia="黑体" w:cs="Times New Roman"/>
          <w:bCs/>
          <w:sz w:val="24"/>
          <w:szCs w:val="32"/>
          <w:highlight w:val="none"/>
        </w:rPr>
      </w:pPr>
      <w:bookmarkStart w:id="120" w:name="_Toc14201247"/>
      <w:bookmarkStart w:id="121" w:name="_Toc26656978"/>
      <w:r>
        <w:rPr>
          <w:rFonts w:ascii="Times New Roman" w:hAnsi="Times New Roman" w:eastAsia="黑体" w:cs="Times New Roman"/>
          <w:bCs/>
          <w:sz w:val="24"/>
          <w:szCs w:val="32"/>
          <w:highlight w:val="none"/>
        </w:rPr>
        <w:t>7.2评审结果异议</w:t>
      </w:r>
      <w:bookmarkEnd w:id="120"/>
      <w:bookmarkEnd w:id="121"/>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highlight w:val="none"/>
        </w:rPr>
      </w:pPr>
      <w:bookmarkStart w:id="122" w:name="_Toc26656979"/>
      <w:bookmarkStart w:id="123" w:name="_Toc14201248"/>
      <w:r>
        <w:rPr>
          <w:rFonts w:ascii="Times New Roman" w:hAnsi="Times New Roman" w:eastAsia="黑体" w:cs="Times New Roman"/>
          <w:bCs/>
          <w:sz w:val="24"/>
          <w:szCs w:val="32"/>
          <w:highlight w:val="none"/>
        </w:rPr>
        <w:t>7.3成交候选人履约能力审查</w:t>
      </w:r>
      <w:bookmarkEnd w:id="122"/>
      <w:bookmarkEnd w:id="123"/>
    </w:p>
    <w:p>
      <w:pPr>
        <w:spacing w:line="440" w:lineRule="exact"/>
        <w:ind w:firstLine="420"/>
        <w:rPr>
          <w:rFonts w:ascii="Times New Roman" w:hAnsi="Times New Roman" w:cs="Times New Roman"/>
          <w:highlight w:val="none"/>
        </w:rPr>
      </w:pPr>
      <w:r>
        <w:rPr>
          <w:rFonts w:ascii="Times New Roman" w:hAnsi="Times New Roman" w:cs="Times New Roman"/>
          <w:highlight w:val="none"/>
        </w:rPr>
        <w:t>成交候选人的经营、财务状况发生较大变化或存在违法行为，采购人认为可能影响其履约能力的，将在发出成交通知书前提请原</w:t>
      </w:r>
      <w:r>
        <w:rPr>
          <w:rFonts w:hint="eastAsia" w:ascii="Times New Roman" w:hAnsi="Times New Roman" w:cs="Times New Roman"/>
          <w:highlight w:val="none"/>
        </w:rPr>
        <w:t>评审小组</w:t>
      </w:r>
      <w:r>
        <w:rPr>
          <w:rFonts w:ascii="Times New Roman" w:hAnsi="Times New Roman" w:cs="Times New Roman"/>
          <w:highlight w:val="none"/>
        </w:rPr>
        <w:t>按照询比文件规定的标准和方法进行审查确认。</w:t>
      </w:r>
    </w:p>
    <w:p>
      <w:pPr>
        <w:keepNext/>
        <w:keepLines/>
        <w:spacing w:before="120" w:after="120"/>
        <w:outlineLvl w:val="2"/>
        <w:rPr>
          <w:rFonts w:ascii="Times New Roman" w:hAnsi="Times New Roman" w:eastAsia="黑体" w:cs="Times New Roman"/>
          <w:bCs/>
          <w:sz w:val="24"/>
          <w:szCs w:val="32"/>
          <w:highlight w:val="none"/>
        </w:rPr>
      </w:pPr>
      <w:bookmarkStart w:id="124" w:name="_Toc26656981"/>
      <w:bookmarkStart w:id="125" w:name="_Toc14201250"/>
      <w:r>
        <w:rPr>
          <w:rFonts w:ascii="Times New Roman" w:hAnsi="Times New Roman" w:eastAsia="黑体" w:cs="Times New Roman"/>
          <w:bCs/>
          <w:sz w:val="24"/>
          <w:szCs w:val="32"/>
          <w:highlight w:val="none"/>
        </w:rPr>
        <w:t>7.</w:t>
      </w:r>
      <w:bookmarkEnd w:id="124"/>
      <w:bookmarkEnd w:id="125"/>
      <w:bookmarkStart w:id="126" w:name="_Toc26656983"/>
      <w:bookmarkStart w:id="127" w:name="_Toc14201252"/>
      <w:r>
        <w:rPr>
          <w:rFonts w:ascii="Times New Roman" w:hAnsi="Times New Roman" w:eastAsia="黑体" w:cs="Times New Roman"/>
          <w:bCs/>
          <w:sz w:val="24"/>
          <w:szCs w:val="32"/>
          <w:highlight w:val="none"/>
        </w:rPr>
        <w:t>4履约保证金</w:t>
      </w:r>
      <w:bookmarkEnd w:id="126"/>
      <w:bookmarkEnd w:id="127"/>
    </w:p>
    <w:p>
      <w:pPr>
        <w:spacing w:line="440" w:lineRule="exact"/>
        <w:ind w:firstLine="420"/>
        <w:rPr>
          <w:rFonts w:ascii="Times New Roman" w:hAnsi="Times New Roman" w:cs="Times New Roman"/>
          <w:highlight w:val="none"/>
        </w:rPr>
      </w:pPr>
      <w:bookmarkStart w:id="128" w:name="_Toc26656984"/>
      <w:bookmarkStart w:id="129" w:name="_Toc14201253"/>
      <w:r>
        <w:rPr>
          <w:rFonts w:ascii="Times New Roman" w:hAnsi="Times New Roman" w:cs="Times New Roman"/>
          <w:highlight w:val="none"/>
        </w:rPr>
        <w:t>7.4.1在签订合同前，成交人应向采购人提交履约保证金。履约保证金</w:t>
      </w:r>
      <w:r>
        <w:rPr>
          <w:rFonts w:hint="eastAsia" w:ascii="Times New Roman" w:hAnsi="Times New Roman" w:cs="Times New Roman"/>
          <w:highlight w:val="none"/>
        </w:rPr>
        <w:t>的金额</w:t>
      </w:r>
      <w:r>
        <w:rPr>
          <w:rFonts w:ascii="Times New Roman" w:hAnsi="Times New Roman" w:cs="Times New Roman"/>
          <w:highlight w:val="none"/>
        </w:rPr>
        <w:t>为</w:t>
      </w:r>
      <w:r>
        <w:rPr>
          <w:rFonts w:hint="eastAsia" w:ascii="Times New Roman" w:hAnsi="Times New Roman" w:cs="Times New Roman"/>
          <w:highlight w:val="none"/>
          <w:u w:val="single"/>
          <w:lang w:val="en-US" w:eastAsia="zh-CN"/>
        </w:rPr>
        <w:t xml:space="preserve">  /   </w:t>
      </w:r>
      <w:r>
        <w:rPr>
          <w:rFonts w:hint="eastAsia" w:ascii="Times New Roman" w:hAnsi="Times New Roman" w:cs="Times New Roman"/>
          <w:highlight w:val="none"/>
        </w:rPr>
        <w:t>履约保证金的形式为</w:t>
      </w:r>
      <w:r>
        <w:rPr>
          <w:rFonts w:hint="eastAsia" w:ascii="Times New Roman" w:hAnsi="Times New Roman" w:cs="Times New Roman"/>
          <w:highlight w:val="none"/>
          <w:u w:val="single"/>
          <w:lang w:val="en-US" w:eastAsia="zh-CN"/>
        </w:rPr>
        <w:t xml:space="preserve">  /  </w:t>
      </w:r>
      <w:r>
        <w:rPr>
          <w:rFonts w:ascii="Times New Roman" w:hAnsi="Times New Roman" w:cs="Times New Roman"/>
          <w:highlight w:val="none"/>
        </w:rPr>
        <w:t>。</w:t>
      </w:r>
    </w:p>
    <w:p>
      <w:pPr>
        <w:spacing w:line="440" w:lineRule="exact"/>
        <w:ind w:firstLine="420"/>
        <w:rPr>
          <w:rFonts w:hint="eastAsia" w:ascii="Times New Roman" w:hAnsi="Times New Roman" w:cs="Times New Roman"/>
          <w:highlight w:val="none"/>
        </w:rPr>
      </w:pPr>
      <w:r>
        <w:rPr>
          <w:rFonts w:ascii="Times New Roman" w:hAnsi="Times New Roman" w:cs="Times New Roman"/>
          <w:highlight w:val="none"/>
        </w:rPr>
        <w:t>7.4.2 成交人不能按本章第7.</w:t>
      </w:r>
      <w:r>
        <w:rPr>
          <w:rFonts w:hint="eastAsia" w:ascii="Times New Roman" w:hAnsi="Times New Roman" w:cs="Times New Roman"/>
          <w:highlight w:val="none"/>
        </w:rPr>
        <w:t>4</w:t>
      </w:r>
      <w:r>
        <w:rPr>
          <w:rFonts w:ascii="Times New Roman" w:hAnsi="Times New Roman" w:cs="Times New Roman"/>
          <w:highlight w:val="none"/>
        </w:rPr>
        <w:t>.1项要求提交履约保证金的，视为放弃成交候选人，其响应保证金不予退还，给采购人造成的损失超过响应保证金数额的，成交人还应当对超过部分予以赔偿</w:t>
      </w:r>
      <w:r>
        <w:rPr>
          <w:rFonts w:hint="eastAsia"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7.5签订合同</w:t>
      </w:r>
      <w:bookmarkEnd w:id="128"/>
      <w:bookmarkEnd w:id="129"/>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0" w:name="_Toc9067727"/>
      <w:bookmarkStart w:id="131" w:name="_Toc26656988"/>
      <w:bookmarkStart w:id="132" w:name="_Toc14201257"/>
      <w:r>
        <w:rPr>
          <w:rFonts w:ascii="Times New Roman" w:hAnsi="Times New Roman" w:eastAsia="黑体" w:cs="Times New Roman"/>
          <w:bCs/>
          <w:sz w:val="24"/>
          <w:szCs w:val="32"/>
          <w:highlight w:val="none"/>
        </w:rPr>
        <w:t>8. 纪律和监督</w:t>
      </w:r>
      <w:bookmarkEnd w:id="130"/>
      <w:bookmarkEnd w:id="131"/>
      <w:bookmarkEnd w:id="132"/>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供应商不得相互串通报价或与采购人串通报价，不得向采购人或</w:t>
      </w:r>
      <w:r>
        <w:rPr>
          <w:rFonts w:hint="eastAsia" w:ascii="Times New Roman" w:hAnsi="Times New Roman" w:cs="Times New Roman"/>
          <w:highlight w:val="none"/>
        </w:rPr>
        <w:t>评审小组</w:t>
      </w:r>
      <w:r>
        <w:rPr>
          <w:rFonts w:ascii="Times New Roman" w:hAnsi="Times New Roman" w:cs="Times New Roman"/>
          <w:highlight w:val="none"/>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3" w:name="_Toc26656993"/>
      <w:bookmarkStart w:id="134" w:name="_Toc14201262"/>
      <w:r>
        <w:rPr>
          <w:rFonts w:hint="eastAsia" w:ascii="Times New Roman" w:hAnsi="Times New Roman" w:eastAsia="黑体" w:cs="Times New Roman"/>
          <w:bCs/>
          <w:sz w:val="24"/>
          <w:szCs w:val="32"/>
          <w:highlight w:val="none"/>
        </w:rPr>
        <w:t>9</w:t>
      </w:r>
      <w:r>
        <w:rPr>
          <w:rFonts w:ascii="Times New Roman" w:hAnsi="Times New Roman" w:eastAsia="黑体" w:cs="Times New Roman"/>
          <w:bCs/>
          <w:sz w:val="24"/>
          <w:szCs w:val="32"/>
          <w:highlight w:val="none"/>
        </w:rPr>
        <w:t xml:space="preserve"> 投诉</w:t>
      </w:r>
      <w:bookmarkEnd w:id="133"/>
      <w:bookmarkEnd w:id="134"/>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.2 监督部门</w:t>
      </w:r>
      <w:r>
        <w:rPr>
          <w:rFonts w:hint="eastAsia" w:ascii="Times New Roman" w:hAnsi="Times New Roman" w:cs="Times New Roman"/>
          <w:highlight w:val="none"/>
        </w:rPr>
        <w:t>及</w:t>
      </w:r>
      <w:r>
        <w:rPr>
          <w:rFonts w:ascii="Times New Roman" w:hAnsi="Times New Roman" w:cs="Times New Roman"/>
          <w:highlight w:val="none"/>
        </w:rPr>
        <w:t>联系方式</w:t>
      </w:r>
      <w:r>
        <w:rPr>
          <w:rFonts w:hint="eastAsia" w:ascii="Times New Roman" w:hAnsi="Times New Roman" w:cs="Times New Roman"/>
          <w:highlight w:val="none"/>
        </w:rPr>
        <w:t>：</w:t>
      </w:r>
      <w:r>
        <w:rPr>
          <w:rFonts w:hint="eastAsia" w:ascii="Times New Roman" w:hAnsi="Times New Roman" w:cs="Times New Roman"/>
          <w:highlight w:val="none"/>
          <w:u w:val="single"/>
          <w:lang w:eastAsia="zh-CN"/>
        </w:rPr>
        <w:t>深圳市安之联置业有限公司纪检委员：0755-29168809</w:t>
      </w:r>
      <w:r>
        <w:rPr>
          <w:rFonts w:hint="eastAsia"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5" w:name="_Toc9067731"/>
      <w:bookmarkStart w:id="136" w:name="_Toc26656994"/>
      <w:bookmarkStart w:id="137" w:name="_Toc14201263"/>
      <w:r>
        <w:rPr>
          <w:rFonts w:hint="eastAsia" w:ascii="Times New Roman" w:hAnsi="Times New Roman" w:eastAsia="黑体" w:cs="Times New Roman"/>
          <w:bCs/>
          <w:sz w:val="24"/>
          <w:szCs w:val="32"/>
          <w:highlight w:val="none"/>
          <w:lang w:val="en-US" w:eastAsia="zh-CN"/>
        </w:rPr>
        <w:t>10</w:t>
      </w:r>
      <w:r>
        <w:rPr>
          <w:rFonts w:ascii="Times New Roman" w:hAnsi="Times New Roman" w:eastAsia="黑体" w:cs="Times New Roman"/>
          <w:bCs/>
          <w:sz w:val="24"/>
          <w:szCs w:val="32"/>
          <w:highlight w:val="none"/>
        </w:rPr>
        <w:t>.</w:t>
      </w:r>
      <w:r>
        <w:rPr>
          <w:rFonts w:hint="eastAsia" w:ascii="Times New Roman" w:hAnsi="Times New Roman" w:eastAsia="黑体" w:cs="Times New Roman"/>
          <w:bCs/>
          <w:sz w:val="24"/>
          <w:szCs w:val="32"/>
          <w:highlight w:val="none"/>
        </w:rPr>
        <w:t xml:space="preserve"> </w:t>
      </w:r>
      <w:r>
        <w:rPr>
          <w:rFonts w:ascii="Times New Roman" w:hAnsi="Times New Roman" w:eastAsia="黑体" w:cs="Times New Roman"/>
          <w:bCs/>
          <w:sz w:val="24"/>
          <w:szCs w:val="32"/>
          <w:highlight w:val="none"/>
        </w:rPr>
        <w:t>需要补充的其他内容</w:t>
      </w:r>
    </w:p>
    <w:bookmarkEnd w:id="135"/>
    <w:bookmarkEnd w:id="136"/>
    <w:bookmarkEnd w:id="137"/>
    <w:p>
      <w:pPr>
        <w:spacing w:line="440" w:lineRule="exact"/>
        <w:ind w:firstLine="420"/>
        <w:rPr>
          <w:rFonts w:ascii="Times New Roman" w:hAnsi="Times New Roman" w:cs="Times New Roman"/>
          <w:highlight w:val="none"/>
        </w:rPr>
      </w:pPr>
      <w:r>
        <w:rPr>
          <w:rFonts w:ascii="Times New Roman" w:hAnsi="Times New Roman" w:cs="Times New Roman"/>
          <w:highlight w:val="none"/>
        </w:rPr>
        <w:t>需要补充的其他内容：</w:t>
      </w:r>
      <w:r>
        <w:rPr>
          <w:rFonts w:hint="eastAsia" w:ascii="Times New Roman" w:hAnsi="Times New Roman" w:cs="Times New Roman"/>
          <w:highlight w:val="none"/>
        </w:rPr>
        <w:t>___</w:t>
      </w:r>
      <w:r>
        <w:rPr>
          <w:rFonts w:hint="eastAsia" w:ascii="Times New Roman" w:hAnsi="Times New Roman" w:cs="Times New Roman"/>
          <w:highlight w:val="none"/>
          <w:lang w:val="en-US" w:eastAsia="zh-CN"/>
        </w:rPr>
        <w:t>/</w:t>
      </w:r>
      <w:r>
        <w:rPr>
          <w:rFonts w:hint="eastAsia" w:ascii="Times New Roman" w:hAnsi="Times New Roman" w:cs="Times New Roman"/>
          <w:highlight w:val="none"/>
        </w:rPr>
        <w:t>_。</w:t>
      </w:r>
    </w:p>
    <w:p>
      <w:pPr>
        <w:widowControl/>
        <w:jc w:val="left"/>
        <w:rPr>
          <w:rFonts w:ascii="Times New Roman" w:hAnsi="Times New Roman" w:cs="Times New Roman"/>
          <w:highlight w:val="none"/>
        </w:rPr>
      </w:pPr>
      <w:r>
        <w:rPr>
          <w:rFonts w:ascii="Times New Roman" w:hAnsi="Times New Roman" w:cs="Times New Roman"/>
          <w:highlight w:val="none"/>
        </w:rPr>
        <w:br w:type="page"/>
      </w:r>
    </w:p>
    <w:p>
      <w:pPr>
        <w:pStyle w:val="4"/>
        <w:numPr>
          <w:ilvl w:val="0"/>
          <w:numId w:val="0"/>
        </w:numPr>
        <w:spacing w:before="312" w:after="312"/>
        <w:ind w:leftChars="0"/>
        <w:rPr>
          <w:rFonts w:ascii="Times New Roman" w:hAnsi="Times New Roman" w:eastAsia="宋体" w:cs="Times New Roman"/>
          <w:highlight w:val="none"/>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bookmarkStart w:id="138" w:name="_Toc29272_WPSOffice_Level1"/>
      <w:r>
        <w:rPr>
          <w:rFonts w:hint="eastAsia" w:ascii="Times New Roman" w:hAnsi="Times New Roman" w:eastAsia="宋体" w:cs="Times New Roman"/>
          <w:highlight w:val="none"/>
          <w:lang w:val="en-US" w:eastAsia="zh-CN"/>
        </w:rPr>
        <w:t xml:space="preserve">第三章 </w:t>
      </w:r>
      <w:r>
        <w:rPr>
          <w:rFonts w:ascii="Times New Roman" w:hAnsi="Times New Roman" w:eastAsia="宋体" w:cs="Times New Roman"/>
          <w:highlight w:val="none"/>
        </w:rPr>
        <w:t>评审办法</w:t>
      </w:r>
      <w:bookmarkEnd w:id="138"/>
    </w:p>
    <w:p>
      <w:pPr>
        <w:rPr>
          <w:rFonts w:ascii="Times New Roman" w:hAnsi="Times New Roman" w:eastAsia="宋体" w:cs="Times New Roman"/>
          <w:highlight w:val="none"/>
        </w:rPr>
      </w:pPr>
    </w:p>
    <w:p>
      <w:pPr>
        <w:spacing w:after="312" w:afterLines="100" w:line="42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评审办法前附表</w:t>
      </w:r>
      <w:r>
        <w:rPr>
          <w:rFonts w:hint="eastAsia" w:ascii="Times New Roman" w:hAnsi="Times New Roman" w:eastAsia="黑体" w:cs="Times New Roman"/>
          <w:sz w:val="28"/>
          <w:szCs w:val="28"/>
          <w:highlight w:val="none"/>
        </w:rPr>
        <w:t>（最低价法）</w:t>
      </w:r>
    </w:p>
    <w:tbl>
      <w:tblPr>
        <w:tblStyle w:val="2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0"/>
        <w:gridCol w:w="1500"/>
        <w:gridCol w:w="170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widowControl/>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700"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498"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1</w:t>
            </w:r>
          </w:p>
        </w:tc>
        <w:tc>
          <w:tcPr>
            <w:tcW w:w="1500"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评审</w:t>
            </w:r>
            <w:r>
              <w:rPr>
                <w:rFonts w:hint="eastAsia" w:ascii="Times New Roman" w:hAnsi="Times New Roman" w:cs="Times New Roman"/>
                <w:bCs/>
                <w:kern w:val="0"/>
                <w:szCs w:val="21"/>
                <w:highlight w:val="none"/>
              </w:rPr>
              <w:t>方</w:t>
            </w:r>
            <w:r>
              <w:rPr>
                <w:rFonts w:ascii="Times New Roman" w:hAnsi="Times New Roman" w:cs="Times New Roman"/>
                <w:bCs/>
                <w:kern w:val="0"/>
                <w:szCs w:val="21"/>
                <w:highlight w:val="none"/>
              </w:rPr>
              <w:t>法</w:t>
            </w:r>
          </w:p>
        </w:tc>
        <w:tc>
          <w:tcPr>
            <w:tcW w:w="1700" w:type="dxa"/>
            <w:tcMar>
              <w:left w:w="75" w:type="dxa"/>
            </w:tcMar>
            <w:vAlign w:val="center"/>
          </w:tcPr>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成交候选人</w:t>
            </w:r>
          </w:p>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排序方法</w:t>
            </w:r>
          </w:p>
        </w:tc>
        <w:tc>
          <w:tcPr>
            <w:tcW w:w="5498" w:type="dxa"/>
            <w:tcMar>
              <w:left w:w="75" w:type="dxa"/>
            </w:tcMar>
            <w:vAlign w:val="center"/>
          </w:tcPr>
          <w:p>
            <w:pPr>
              <w:widowControl/>
              <w:adjustRightInd w:val="0"/>
              <w:snapToGrid w:val="0"/>
              <w:jc w:val="left"/>
              <w:rPr>
                <w:highlight w:val="none"/>
              </w:rPr>
            </w:pPr>
            <w:r>
              <w:rPr>
                <w:rFonts w:hint="eastAsia"/>
                <w:highlight w:val="none"/>
              </w:rPr>
              <w:t>按评审价由低到高的顺序依次推荐成交候选人：</w:t>
            </w:r>
          </w:p>
          <w:p>
            <w:pPr>
              <w:widowControl/>
              <w:adjustRightInd w:val="0"/>
              <w:snapToGrid w:val="0"/>
              <w:jc w:val="left"/>
              <w:rPr>
                <w:highlight w:val="none"/>
              </w:rPr>
            </w:pPr>
            <w:r>
              <w:rPr>
                <w:rFonts w:hint="eastAsia" w:ascii="Times New Roman" w:hAnsi="Times New Roman" w:cs="Times New Roman"/>
                <w:kern w:val="0"/>
                <w:szCs w:val="21"/>
                <w:highlight w:val="none"/>
              </w:rPr>
              <w:sym w:font="Wingdings 2" w:char="0052"/>
            </w:r>
            <w:r>
              <w:rPr>
                <w:rFonts w:hint="eastAsia"/>
                <w:highlight w:val="none"/>
              </w:rPr>
              <w:t>评审价相等时，以递交响应文件在前的优先。</w:t>
            </w:r>
          </w:p>
          <w:p>
            <w:pPr>
              <w:widowControl w:val="0"/>
              <w:adjustRightInd w:val="0"/>
              <w:snapToGrid w:val="0"/>
              <w:spacing w:after="120"/>
              <w:jc w:val="both"/>
              <w:rPr>
                <w:rFonts w:hint="default" w:ascii="Calibri" w:hAnsi="Calibri" w:eastAsia="宋体" w:cs="Times New Roman"/>
                <w:kern w:val="2"/>
                <w:sz w:val="21"/>
                <w:szCs w:val="24"/>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□其他方法:</w:t>
            </w:r>
            <w:r>
              <w:rPr>
                <w:rFonts w:hint="eastAsia" w:ascii="Times New Roman" w:hAnsi="Times New Roman" w:eastAsia="宋体" w:cs="Times New Roman"/>
                <w:kern w:val="0"/>
                <w:sz w:val="21"/>
                <w:szCs w:val="21"/>
                <w:highlight w:val="none"/>
                <w:u w:val="single"/>
                <w:lang w:val="en-US" w:eastAsia="zh-CN" w:bidi="ar-SA"/>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700"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498"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2.1.1</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形式评审标准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供应商名称</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响应文件格式</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签名</w:t>
            </w:r>
            <w:r>
              <w:rPr>
                <w:rFonts w:ascii="Times New Roman" w:hAnsi="Times New Roman" w:cs="Times New Roman"/>
                <w:kern w:val="0"/>
                <w:szCs w:val="21"/>
                <w:highlight w:val="none"/>
              </w:rPr>
              <w:t>盖章</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符合第二章“供应商须知”第3.</w:t>
            </w:r>
            <w:r>
              <w:rPr>
                <w:rFonts w:hint="eastAsia" w:ascii="Times New Roman" w:hAnsi="Times New Roman" w:cs="Times New Roman"/>
                <w:bCs/>
                <w:kern w:val="0"/>
                <w:szCs w:val="21"/>
                <w:highlight w:val="none"/>
              </w:rPr>
              <w:t>6</w:t>
            </w:r>
            <w:r>
              <w:rPr>
                <w:rFonts w:ascii="Times New Roman" w:hAnsi="Times New Roman" w:cs="Times New Roman"/>
                <w:bCs/>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2.1.2</w:t>
            </w:r>
          </w:p>
        </w:tc>
        <w:tc>
          <w:tcPr>
            <w:tcW w:w="1500"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资格评审标准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资质条件、能力、信誉</w:t>
            </w:r>
          </w:p>
        </w:tc>
        <w:tc>
          <w:tcPr>
            <w:tcW w:w="5498"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2.1.3</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响应性评审标准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报价内容</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服务期</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质量要求</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安全目标</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响应有效期</w:t>
            </w:r>
          </w:p>
        </w:tc>
        <w:tc>
          <w:tcPr>
            <w:tcW w:w="5498"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响应保证金</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权利义务</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询比文件的获取</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bCs/>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hint="eastAsia" w:ascii="Times New Roman" w:hAnsi="Times New Roman" w:cs="Times New Roman"/>
                <w:bCs/>
                <w:kern w:val="0"/>
                <w:szCs w:val="21"/>
                <w:highlight w:val="none"/>
              </w:rPr>
              <w:t>联合体</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分包</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kern w:val="0"/>
                <w:szCs w:val="21"/>
                <w:highlight w:val="none"/>
              </w:rPr>
              <w:t>报价</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（1）报价未超过询比文件设定的最高限价。</w:t>
            </w:r>
          </w:p>
          <w:p>
            <w:pPr>
              <w:widowControl/>
              <w:adjustRightInd w:val="0"/>
              <w:snapToGrid w:val="0"/>
              <w:spacing w:line="360" w:lineRule="atLeast"/>
              <w:jc w:val="left"/>
              <w:rPr>
                <w:rFonts w:ascii="Times New Roman" w:hAnsi="Times New Roman"/>
                <w:highlight w:val="none"/>
              </w:rPr>
            </w:pPr>
            <w:r>
              <w:rPr>
                <w:rFonts w:hint="eastAsia" w:ascii="Times New Roman" w:hAnsi="Times New Roman" w:cs="Times New Roman"/>
                <w:highlight w:val="none"/>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3</w:t>
            </w:r>
            <w:r>
              <w:rPr>
                <w:rFonts w:ascii="Times New Roman" w:hAnsi="Times New Roman" w:cs="Times New Roman"/>
                <w:highlight w:val="none"/>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4</w:t>
            </w:r>
            <w:r>
              <w:rPr>
                <w:rFonts w:ascii="Times New Roman" w:hAnsi="Times New Roman" w:cs="Times New Roman"/>
                <w:highlight w:val="none"/>
              </w:rPr>
              <w:t>）同一供应商未递交两个以上不同的报价。</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5</w:t>
            </w:r>
            <w:r>
              <w:rPr>
                <w:rFonts w:ascii="Times New Roman" w:hAnsi="Times New Roman" w:cs="Times New Roman"/>
                <w:highlight w:val="none"/>
              </w:rPr>
              <w:t>）供应商</w:t>
            </w:r>
            <w:r>
              <w:rPr>
                <w:rFonts w:hint="eastAsia" w:ascii="Times New Roman" w:hAnsi="Times New Roman" w:cs="Times New Roman"/>
                <w:highlight w:val="none"/>
              </w:rPr>
              <w:t>按</w:t>
            </w:r>
            <w:r>
              <w:rPr>
                <w:rFonts w:ascii="Times New Roman" w:hAnsi="Times New Roman" w:cs="Times New Roman"/>
                <w:highlight w:val="none"/>
              </w:rPr>
              <w:t>采购人提供的书面</w:t>
            </w:r>
            <w:r>
              <w:rPr>
                <w:rFonts w:hint="eastAsia" w:ascii="Times New Roman" w:hAnsi="Times New Roman" w:cs="Times New Roman"/>
                <w:highlight w:val="none"/>
              </w:rPr>
              <w:t>报价清单填写了报价，且未修改报价清单说明、数量等实质性内容</w:t>
            </w:r>
            <w:r>
              <w:rPr>
                <w:rFonts w:ascii="Times New Roman" w:hAnsi="Times New Roman"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其他实质性要求</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符合询比文件的其他实质性要求和条件</w:t>
            </w:r>
          </w:p>
        </w:tc>
      </w:tr>
    </w:tbl>
    <w:p>
      <w:pPr>
        <w:widowControl/>
        <w:spacing w:after="312" w:afterLines="100" w:line="420" w:lineRule="exact"/>
        <w:jc w:val="center"/>
        <w:rPr>
          <w:rFonts w:ascii="Times New Roman" w:hAnsi="Times New Roman" w:cs="Times New Roman"/>
          <w:kern w:val="0"/>
          <w:szCs w:val="21"/>
          <w:highlight w:val="none"/>
        </w:rPr>
      </w:pPr>
    </w:p>
    <w:p>
      <w:pPr>
        <w:jc w:val="right"/>
        <w:rPr>
          <w:rFonts w:ascii="Times New Roman" w:hAnsi="Times New Roman" w:cs="Times New Roman"/>
          <w:highlight w:val="none"/>
        </w:rPr>
      </w:pPr>
    </w:p>
    <w:tbl>
      <w:tblPr>
        <w:tblStyle w:val="25"/>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highlight w:val="none"/>
              </w:rPr>
            </w:pPr>
            <w:r>
              <w:rPr>
                <w:rFonts w:ascii="Times New Roman" w:hAnsi="Times New Roman" w:cs="Times New Roman"/>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highlight w:val="none"/>
              </w:rPr>
            </w:pPr>
            <w:r>
              <w:rPr>
                <w:rFonts w:ascii="Times New Roman" w:hAnsi="Times New Roman" w:cs="Times New Roman"/>
                <w:szCs w:val="21"/>
                <w:highlight w:val="none"/>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highlight w:val="none"/>
              </w:rPr>
            </w:pPr>
            <w:r>
              <w:rPr>
                <w:rFonts w:ascii="Times New Roman" w:hAnsi="Times New Roman" w:cs="Times New Roman"/>
                <w:kern w:val="0"/>
                <w:szCs w:val="21"/>
                <w:highlight w:val="none"/>
              </w:rPr>
              <w:t>评审价＝</w:t>
            </w:r>
            <w:r>
              <w:rPr>
                <w:rFonts w:hint="eastAsia" w:ascii="Times New Roman" w:hAnsi="Times New Roman" w:cs="Times New Roman"/>
                <w:kern w:val="0"/>
                <w:szCs w:val="21"/>
                <w:highlight w:val="none"/>
              </w:rPr>
              <w:t>修正后的</w:t>
            </w:r>
            <w:r>
              <w:rPr>
                <w:rFonts w:ascii="Times New Roman" w:hAnsi="Times New Roman" w:cs="Times New Roman"/>
                <w:kern w:val="0"/>
                <w:szCs w:val="21"/>
                <w:highlight w:val="none"/>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highlight w:val="none"/>
              </w:rPr>
            </w:pPr>
            <w:r>
              <w:rPr>
                <w:rFonts w:ascii="Times New Roman" w:hAnsi="Times New Roman" w:cs="Times New Roman"/>
                <w:szCs w:val="21"/>
                <w:highlight w:val="none"/>
              </w:rPr>
              <w:t>需要补充的其他内容：</w:t>
            </w:r>
          </w:p>
          <w:p>
            <w:pPr>
              <w:spacing w:line="360" w:lineRule="atLeast"/>
              <w:rPr>
                <w:rFonts w:ascii="Times New Roman" w:hAnsi="Times New Roman" w:cs="Times New Roman"/>
                <w:szCs w:val="21"/>
                <w:highlight w:val="none"/>
              </w:rPr>
            </w:pPr>
            <w:r>
              <w:rPr>
                <w:rFonts w:ascii="Times New Roman" w:hAnsi="Times New Roman" w:cs="Times New Roman"/>
                <w:szCs w:val="21"/>
                <w:highlight w:val="none"/>
              </w:rPr>
              <w:t>……</w:t>
            </w:r>
          </w:p>
        </w:tc>
      </w:tr>
    </w:tbl>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sz w:val="29"/>
          <w:szCs w:val="29"/>
          <w:highlight w:val="none"/>
        </w:rPr>
        <w:br w:type="page"/>
      </w:r>
      <w:r>
        <w:rPr>
          <w:rFonts w:ascii="Times New Roman" w:hAnsi="Times New Roman" w:eastAsia="黑体" w:cs="Times New Roman"/>
          <w:bCs/>
          <w:sz w:val="24"/>
          <w:szCs w:val="32"/>
          <w:highlight w:val="none"/>
        </w:rPr>
        <w:t>1. 评审方法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本次评</w:t>
      </w:r>
      <w:r>
        <w:rPr>
          <w:rFonts w:hint="eastAsia" w:ascii="Times New Roman" w:hAnsi="Times New Roman" w:cs="Times New Roman"/>
          <w:highlight w:val="none"/>
        </w:rPr>
        <w:t>审</w:t>
      </w:r>
      <w:r>
        <w:rPr>
          <w:rFonts w:ascii="Times New Roman" w:hAnsi="Times New Roman" w:cs="Times New Roman"/>
          <w:highlight w:val="none"/>
        </w:rPr>
        <w:t>采用经评审的最低价法。</w:t>
      </w:r>
      <w:r>
        <w:rPr>
          <w:rFonts w:hint="eastAsia" w:ascii="Times New Roman" w:hAnsi="Times New Roman" w:cs="Times New Roman"/>
          <w:highlight w:val="none"/>
        </w:rPr>
        <w:t>评审小组</w:t>
      </w:r>
      <w:r>
        <w:rPr>
          <w:rFonts w:ascii="Times New Roman" w:hAnsi="Times New Roman" w:cs="Times New Roman"/>
          <w:highlight w:val="none"/>
        </w:rPr>
        <w:t>对满足</w:t>
      </w:r>
      <w:r>
        <w:rPr>
          <w:rFonts w:hint="eastAsia" w:ascii="Times New Roman" w:hAnsi="Times New Roman" w:cs="Times New Roman"/>
          <w:highlight w:val="none"/>
        </w:rPr>
        <w:t>询比文件</w:t>
      </w:r>
      <w:r>
        <w:rPr>
          <w:rFonts w:ascii="Times New Roman" w:hAnsi="Times New Roman" w:cs="Times New Roman"/>
          <w:highlight w:val="none"/>
        </w:rPr>
        <w:t>实质性要求的</w:t>
      </w:r>
      <w:r>
        <w:rPr>
          <w:rFonts w:hint="eastAsia" w:ascii="Times New Roman" w:hAnsi="Times New Roman" w:cs="Times New Roman"/>
          <w:highlight w:val="none"/>
        </w:rPr>
        <w:t>响应</w:t>
      </w:r>
      <w:r>
        <w:rPr>
          <w:rFonts w:ascii="Times New Roman" w:hAnsi="Times New Roman" w:cs="Times New Roman"/>
          <w:highlight w:val="none"/>
        </w:rPr>
        <w:t>文件，按照</w:t>
      </w:r>
      <w:r>
        <w:rPr>
          <w:rFonts w:hint="eastAsia" w:ascii="Times New Roman" w:hAnsi="Times New Roman" w:cs="Times New Roman"/>
          <w:highlight w:val="none"/>
        </w:rPr>
        <w:t>评审</w:t>
      </w:r>
      <w:r>
        <w:rPr>
          <w:rFonts w:ascii="Times New Roman" w:hAnsi="Times New Roman" w:cs="Times New Roman"/>
          <w:highlight w:val="none"/>
        </w:rPr>
        <w:t>价由低到高的顺序依次推荐</w:t>
      </w:r>
      <w:r>
        <w:rPr>
          <w:rFonts w:hint="eastAsia" w:ascii="Times New Roman" w:hAnsi="Times New Roman" w:cs="Times New Roman"/>
          <w:highlight w:val="none"/>
        </w:rPr>
        <w:t>成交候选人</w:t>
      </w:r>
      <w:r>
        <w:rPr>
          <w:rFonts w:ascii="Times New Roman" w:hAnsi="Times New Roman" w:cs="Times New Roman"/>
          <w:highlight w:val="none"/>
        </w:rPr>
        <w:t>。如</w:t>
      </w:r>
      <w:r>
        <w:rPr>
          <w:rFonts w:hint="eastAsia" w:ascii="Times New Roman" w:hAnsi="Times New Roman" w:cs="Times New Roman"/>
          <w:highlight w:val="none"/>
        </w:rPr>
        <w:t>报价</w:t>
      </w:r>
      <w:r>
        <w:rPr>
          <w:rFonts w:ascii="Times New Roman" w:hAnsi="Times New Roman" w:cs="Times New Roman"/>
          <w:highlight w:val="none"/>
        </w:rPr>
        <w:t>相同的，按照</w:t>
      </w:r>
      <w:r>
        <w:rPr>
          <w:rFonts w:hint="eastAsia" w:ascii="Times New Roman" w:hAnsi="Times New Roman" w:cs="Times New Roman"/>
          <w:highlight w:val="none"/>
        </w:rPr>
        <w:t>评审</w:t>
      </w:r>
      <w:r>
        <w:rPr>
          <w:rFonts w:ascii="Times New Roman" w:hAnsi="Times New Roman" w:cs="Times New Roman"/>
          <w:highlight w:val="none"/>
        </w:rPr>
        <w:t>办法前附表中的规定确定</w:t>
      </w:r>
      <w:r>
        <w:rPr>
          <w:rFonts w:hint="eastAsia" w:ascii="Times New Roman" w:hAnsi="Times New Roman" w:cs="Times New Roman"/>
          <w:highlight w:val="none"/>
        </w:rPr>
        <w:t>成交候选人</w:t>
      </w:r>
      <w:r>
        <w:rPr>
          <w:rFonts w:ascii="Times New Roman" w:hAnsi="Times New Roman" w:cs="Times New Roman"/>
          <w:highlight w:val="none"/>
        </w:rPr>
        <w:t>顺序。</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 评审标准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2.1 初步评审标准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2.1.1 形式评审标准：见评审办法前附表。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2.1.2 资格评审标准：见评审办法前附表。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2.1.3 响应性评审标准：见评审办法前附表。</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2.2 详细评审标准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 评审程序</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3.1 初步评审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3.1.1</w:t>
      </w:r>
      <w:r>
        <w:rPr>
          <w:rFonts w:hint="eastAsia" w:ascii="Times New Roman" w:hAnsi="Times New Roman" w:cs="Times New Roman"/>
          <w:highlight w:val="none"/>
        </w:rPr>
        <w:t>评审小组</w:t>
      </w:r>
      <w:r>
        <w:rPr>
          <w:rFonts w:ascii="Times New Roman" w:hAnsi="Times New Roman" w:cs="Times New Roman"/>
          <w:highlight w:val="none"/>
        </w:rPr>
        <w:t>依据本章第2.1.1项、第2.1.2项、第2.1.3项规定的标准对响应文件进行评审。有一项不符合评审标准的，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2 </w:t>
      </w:r>
      <w:r>
        <w:rPr>
          <w:rFonts w:ascii="Times New Roman" w:hAnsi="Times New Roman" w:cs="Times New Roman"/>
          <w:highlight w:val="none"/>
        </w:rPr>
        <w:t>响应文件中填报的报价、</w:t>
      </w:r>
      <w:r>
        <w:rPr>
          <w:rFonts w:hint="eastAsia" w:ascii="Times New Roman" w:hAnsi="Times New Roman" w:cs="Times New Roman"/>
          <w:highlight w:val="none"/>
        </w:rPr>
        <w:t>服务期</w:t>
      </w:r>
      <w:r>
        <w:rPr>
          <w:rFonts w:ascii="Times New Roman" w:hAnsi="Times New Roman" w:cs="Times New Roman"/>
          <w:highlight w:val="none"/>
        </w:rPr>
        <w:t>、质量标准、安全目标前后不一致</w:t>
      </w:r>
      <w:r>
        <w:rPr>
          <w:rFonts w:hint="eastAsia" w:ascii="Times New Roman" w:hAnsi="Times New Roman" w:cs="Times New Roman"/>
          <w:highlight w:val="none"/>
        </w:rPr>
        <w:t>，且报价函中填写的内容满足询比文件要求</w:t>
      </w:r>
      <w:r>
        <w:rPr>
          <w:rFonts w:ascii="Times New Roman" w:hAnsi="Times New Roman" w:cs="Times New Roman"/>
          <w:highlight w:val="none"/>
        </w:rPr>
        <w:t>时，</w:t>
      </w:r>
      <w:r>
        <w:rPr>
          <w:rFonts w:hint="eastAsia" w:ascii="Times New Roman" w:hAnsi="Times New Roman" w:cs="Times New Roman"/>
          <w:highlight w:val="none"/>
        </w:rPr>
        <w:t>按细微偏差处理，并</w:t>
      </w:r>
      <w:r>
        <w:rPr>
          <w:rFonts w:ascii="Times New Roman" w:hAnsi="Times New Roman" w:cs="Times New Roman"/>
          <w:highlight w:val="none"/>
        </w:rPr>
        <w:t>以报价函填报的为准</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3.1.3 </w:t>
      </w:r>
      <w:r>
        <w:rPr>
          <w:rFonts w:ascii="Times New Roman" w:hAnsi="Times New Roman" w:cs="Times New Roman"/>
          <w:highlight w:val="none"/>
        </w:rPr>
        <w:t>报价存在</w:t>
      </w:r>
      <w:r>
        <w:rPr>
          <w:rFonts w:hint="eastAsia" w:ascii="Times New Roman" w:hAnsi="Times New Roman" w:cs="Times New Roman"/>
          <w:highlight w:val="none"/>
        </w:rPr>
        <w:t>以下</w:t>
      </w:r>
      <w:r>
        <w:rPr>
          <w:rFonts w:ascii="Times New Roman" w:hAnsi="Times New Roman" w:cs="Times New Roman"/>
          <w:highlight w:val="none"/>
        </w:rPr>
        <w:t>细微偏差的，</w:t>
      </w:r>
      <w:r>
        <w:rPr>
          <w:rFonts w:hint="eastAsia" w:ascii="Times New Roman" w:hAnsi="Times New Roman" w:cs="Times New Roman"/>
          <w:highlight w:val="none"/>
        </w:rPr>
        <w:t>评审小组按以下原则</w:t>
      </w:r>
      <w:r>
        <w:rPr>
          <w:rFonts w:ascii="Times New Roman" w:hAnsi="Times New Roman" w:cs="Times New Roman"/>
          <w:highlight w:val="none"/>
        </w:rPr>
        <w:t>对报价进行处理，并要求供应商书面澄清确认，供应商拒不澄清确认的，</w:t>
      </w:r>
      <w:r>
        <w:rPr>
          <w:rFonts w:hint="eastAsia" w:ascii="Times New Roman" w:hAnsi="Times New Roman" w:cs="Times New Roman"/>
          <w:highlight w:val="none"/>
        </w:rPr>
        <w:t>评审小组</w:t>
      </w:r>
      <w:r>
        <w:rPr>
          <w:rFonts w:ascii="Times New Roman" w:hAnsi="Times New Roman" w:cs="Times New Roman"/>
          <w:highlight w:val="none"/>
        </w:rPr>
        <w:t>应当否决其报价。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①响应文件中的大写金额与小写金额不一致的，以大写金额为准；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（2）报价</w:t>
      </w:r>
      <w:r>
        <w:rPr>
          <w:rFonts w:ascii="Times New Roman" w:hAnsi="Times New Roman" w:cs="Times New Roman"/>
          <w:highlight w:val="none"/>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②在采购人给定的清单中多报了某个子目的单价、合价或总额价，或所报单价、合价或总额价增加了报价范围，则从报价中扣除多报的子目报价或子目报价中增加了报价范围的部分报价。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③当单价与数量的乘积与合价（金额）虽然一致，但供应商修改了该子目的数量，则其合价按采购人给定的数量乘以供应商所报单价予以修正。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4 </w:t>
      </w:r>
      <w:r>
        <w:rPr>
          <w:rFonts w:ascii="Times New Roman" w:hAnsi="Times New Roman" w:cs="Times New Roman"/>
          <w:highlight w:val="none"/>
        </w:rPr>
        <w:t>修正后的最终报价若超过最高限价（如有），</w:t>
      </w:r>
      <w:r>
        <w:rPr>
          <w:rFonts w:hint="eastAsia" w:ascii="Times New Roman" w:hAnsi="Times New Roman" w:cs="Times New Roman"/>
          <w:highlight w:val="none"/>
        </w:rPr>
        <w:t>评审小组</w:t>
      </w:r>
      <w:r>
        <w:rPr>
          <w:rFonts w:ascii="Times New Roman" w:hAnsi="Times New Roman" w:cs="Times New Roman"/>
          <w:highlight w:val="none"/>
        </w:rPr>
        <w:t>应否决其报价。</w:t>
      </w:r>
    </w:p>
    <w:p>
      <w:pPr>
        <w:spacing w:line="440" w:lineRule="exact"/>
        <w:ind w:firstLine="420"/>
        <w:rPr>
          <w:highlight w:val="none"/>
        </w:rPr>
      </w:pPr>
      <w:r>
        <w:rPr>
          <w:rFonts w:ascii="Times New Roman" w:hAnsi="Times New Roman" w:cs="Times New Roman"/>
          <w:highlight w:val="none"/>
        </w:rPr>
        <w:t>3.1.</w:t>
      </w:r>
      <w:r>
        <w:rPr>
          <w:rFonts w:hint="eastAsia" w:ascii="Times New Roman" w:hAnsi="Times New Roman" w:cs="Times New Roman"/>
          <w:highlight w:val="none"/>
        </w:rPr>
        <w:t>5</w:t>
      </w:r>
      <w:r>
        <w:rPr>
          <w:rFonts w:ascii="Times New Roman" w:hAnsi="Times New Roman" w:cs="Times New Roman"/>
          <w:highlight w:val="none"/>
        </w:rPr>
        <w:t xml:space="preserve"> </w:t>
      </w:r>
      <w:r>
        <w:rPr>
          <w:rFonts w:hint="eastAsia" w:ascii="Times New Roman" w:hAnsi="Times New Roman" w:cs="Times New Roman"/>
          <w:szCs w:val="21"/>
          <w:highlight w:val="none"/>
        </w:rPr>
        <w:t>修正后的</w:t>
      </w:r>
      <w:r>
        <w:rPr>
          <w:rFonts w:ascii="Times New Roman" w:hAnsi="Times New Roman" w:cs="Times New Roman"/>
          <w:highlight w:val="none"/>
        </w:rPr>
        <w:t>最终报价参与评审价得分的计算</w:t>
      </w:r>
      <w:r>
        <w:rPr>
          <w:rFonts w:hint="eastAsia" w:ascii="Times New Roman" w:hAnsi="Times New Roman" w:cs="Times New Roman"/>
          <w:highlight w:val="none"/>
        </w:rPr>
        <w:t>，并作为签订合同的依据</w:t>
      </w:r>
      <w:r>
        <w:rPr>
          <w:rFonts w:ascii="Times New Roman" w:hAnsi="Times New Roman" w:cs="Times New Roman"/>
          <w:highlight w:val="none"/>
        </w:rPr>
        <w:t>。</w:t>
      </w:r>
    </w:p>
    <w:p>
      <w:pPr>
        <w:keepNext/>
        <w:keepLines/>
        <w:spacing w:before="120" w:after="120"/>
        <w:outlineLvl w:val="2"/>
        <w:rPr>
          <w:rFonts w:ascii="Times New Roman" w:hAnsi="Times New Roman" w:cs="Times New Roman"/>
          <w:highlight w:val="none"/>
        </w:rPr>
      </w:pPr>
      <w:r>
        <w:rPr>
          <w:rFonts w:ascii="Times New Roman" w:hAnsi="Times New Roman" w:eastAsia="黑体" w:cs="Times New Roman"/>
          <w:bCs/>
          <w:sz w:val="24"/>
          <w:szCs w:val="32"/>
          <w:highlight w:val="none"/>
        </w:rPr>
        <w:t>3.2 详细评审</w:t>
      </w:r>
    </w:p>
    <w:p>
      <w:pPr>
        <w:spacing w:line="440" w:lineRule="exact"/>
        <w:ind w:firstLine="44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按本章第2.2款规定</w:t>
      </w:r>
      <w:r>
        <w:rPr>
          <w:rFonts w:hint="eastAsia" w:ascii="Times New Roman" w:hAnsi="Times New Roman" w:cs="Times New Roman"/>
          <w:highlight w:val="none"/>
        </w:rPr>
        <w:t>进行评审价排序</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 xml:space="preserve">3.3 </w:t>
      </w:r>
      <w:r>
        <w:rPr>
          <w:rFonts w:hint="eastAsia" w:ascii="Times New Roman" w:hAnsi="Times New Roman" w:eastAsia="黑体" w:cs="Times New Roman"/>
          <w:bCs/>
          <w:sz w:val="24"/>
          <w:szCs w:val="32"/>
          <w:highlight w:val="none"/>
        </w:rPr>
        <w:t>否决响应文件</w:t>
      </w:r>
      <w:r>
        <w:rPr>
          <w:rFonts w:ascii="Times New Roman" w:hAnsi="Times New Roman" w:eastAsia="黑体" w:cs="Times New Roman"/>
          <w:bCs/>
          <w:sz w:val="24"/>
          <w:szCs w:val="32"/>
          <w:highlight w:val="none"/>
        </w:rPr>
        <w:t>的其他情形</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应对在评审过程中发现供应商存在串通报价、弄虚作假、行贿等违法行为的，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3.4 响应文件的澄清和说明或补正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3.4.1 在评审过程中，</w:t>
      </w:r>
      <w:r>
        <w:rPr>
          <w:rFonts w:hint="eastAsia" w:ascii="Times New Roman" w:hAnsi="Times New Roman" w:cs="Times New Roman"/>
          <w:highlight w:val="none"/>
        </w:rPr>
        <w:t>评审小组</w:t>
      </w:r>
      <w:r>
        <w:rPr>
          <w:rFonts w:ascii="Times New Roman" w:hAnsi="Times New Roman" w:cs="Times New Roman"/>
          <w:highlight w:val="none"/>
        </w:rPr>
        <w:t>可以书面形式要求供应商对响应文件中含义不明确、对同类问题表述不一致或者有明显文字</w:t>
      </w:r>
      <w:r>
        <w:rPr>
          <w:rFonts w:hint="eastAsia" w:ascii="Times New Roman" w:hAnsi="Times New Roman" w:cs="Times New Roman"/>
          <w:highlight w:val="none"/>
        </w:rPr>
        <w:t>错误</w:t>
      </w:r>
      <w:r>
        <w:rPr>
          <w:rFonts w:ascii="Times New Roman" w:hAnsi="Times New Roman" w:cs="Times New Roman"/>
          <w:highlight w:val="none"/>
        </w:rPr>
        <w:t>的内容做必要的澄清。</w:t>
      </w:r>
      <w:r>
        <w:rPr>
          <w:rFonts w:hint="eastAsia" w:ascii="Times New Roman" w:hAnsi="Times New Roman" w:cs="Times New Roman"/>
          <w:highlight w:val="none"/>
        </w:rPr>
        <w:t>评审小组</w:t>
      </w:r>
      <w:r>
        <w:rPr>
          <w:rFonts w:ascii="Times New Roman" w:hAnsi="Times New Roman" w:cs="Times New Roman"/>
          <w:highlight w:val="none"/>
        </w:rPr>
        <w:t>不接受供应商主动提出的澄清。</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3.5 评审结果</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完成评审后，应当向采购人提交评审报告。评审报告应当如实记载以下内容：</w:t>
      </w:r>
    </w:p>
    <w:p>
      <w:pPr>
        <w:spacing w:line="440" w:lineRule="exact"/>
        <w:ind w:firstLine="420"/>
        <w:rPr>
          <w:rFonts w:ascii="Times New Roman" w:hAnsi="Times New Roman" w:cs="Times New Roman"/>
          <w:highlight w:val="none"/>
        </w:rPr>
      </w:pPr>
      <w:bookmarkStart w:id="139" w:name="_Toc12245_WPSOffice_Level2"/>
      <w:bookmarkStart w:id="140" w:name="_Toc21524_WPSOffice_Level2"/>
      <w:bookmarkStart w:id="141" w:name="_Toc218_WPSOffice_Level2"/>
      <w:r>
        <w:rPr>
          <w:rFonts w:ascii="Times New Roman" w:hAnsi="Times New Roman" w:cs="Times New Roman"/>
          <w:highlight w:val="none"/>
        </w:rPr>
        <w:t>（一）采购项目基本情况</w:t>
      </w:r>
      <w:bookmarkEnd w:id="139"/>
      <w:bookmarkEnd w:id="140"/>
      <w:bookmarkEnd w:id="141"/>
    </w:p>
    <w:p>
      <w:pPr>
        <w:spacing w:line="440" w:lineRule="exact"/>
        <w:ind w:firstLine="420"/>
        <w:rPr>
          <w:rFonts w:ascii="Times New Roman" w:hAnsi="Times New Roman" w:cs="Times New Roman"/>
          <w:highlight w:val="none"/>
        </w:rPr>
      </w:pPr>
      <w:bookmarkStart w:id="142" w:name="_Toc31322_WPSOffice_Level2"/>
      <w:bookmarkStart w:id="143" w:name="_Toc5856_WPSOffice_Level2"/>
      <w:bookmarkStart w:id="144" w:name="_Toc8414_WPSOffice_Level2"/>
      <w:r>
        <w:rPr>
          <w:rFonts w:ascii="Times New Roman" w:hAnsi="Times New Roman" w:cs="Times New Roman"/>
          <w:highlight w:val="none"/>
        </w:rPr>
        <w:t>（二）采购过程回顾</w:t>
      </w:r>
      <w:bookmarkEnd w:id="142"/>
      <w:bookmarkEnd w:id="143"/>
      <w:bookmarkEnd w:id="144"/>
    </w:p>
    <w:p>
      <w:pPr>
        <w:spacing w:line="440" w:lineRule="exact"/>
        <w:ind w:firstLine="420"/>
        <w:rPr>
          <w:rFonts w:ascii="Times New Roman" w:hAnsi="Times New Roman" w:cs="Times New Roman"/>
          <w:highlight w:val="none"/>
        </w:rPr>
      </w:pPr>
      <w:bookmarkStart w:id="145" w:name="_Toc1346_WPSOffice_Level2"/>
      <w:bookmarkStart w:id="146" w:name="_Toc2932_WPSOffice_Level2"/>
      <w:bookmarkStart w:id="147" w:name="_Toc15620_WPSOffice_Level2"/>
      <w:r>
        <w:rPr>
          <w:rFonts w:ascii="Times New Roman" w:hAnsi="Times New Roman" w:cs="Times New Roman"/>
          <w:highlight w:val="none"/>
        </w:rPr>
        <w:t>（三）评审小组成员名单</w:t>
      </w:r>
      <w:bookmarkEnd w:id="145"/>
      <w:bookmarkEnd w:id="146"/>
      <w:bookmarkEnd w:id="147"/>
    </w:p>
    <w:p>
      <w:pPr>
        <w:spacing w:line="440" w:lineRule="exact"/>
        <w:ind w:firstLine="420"/>
        <w:rPr>
          <w:rFonts w:ascii="Times New Roman" w:hAnsi="Times New Roman" w:cs="Times New Roman"/>
          <w:highlight w:val="none"/>
        </w:rPr>
      </w:pPr>
      <w:bookmarkStart w:id="148" w:name="_Toc32316_WPSOffice_Level2"/>
      <w:bookmarkStart w:id="149" w:name="_Toc14207_WPSOffice_Level2"/>
      <w:bookmarkStart w:id="150" w:name="_Toc14464_WPSOffice_Level2"/>
      <w:r>
        <w:rPr>
          <w:rFonts w:ascii="Times New Roman" w:hAnsi="Times New Roman" w:cs="Times New Roman"/>
          <w:highlight w:val="none"/>
        </w:rPr>
        <w:t>（四）询比评审工作</w:t>
      </w:r>
      <w:bookmarkEnd w:id="148"/>
      <w:bookmarkEnd w:id="149"/>
      <w:bookmarkEnd w:id="150"/>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初步评审情况（资格审查、形式性审查、响应性审查）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.详细</w:t>
      </w:r>
      <w:r>
        <w:rPr>
          <w:rFonts w:ascii="Times New Roman" w:hAnsi="Times New Roman" w:cs="Times New Roman"/>
          <w:highlight w:val="none"/>
        </w:rPr>
        <w:t>评审情况</w:t>
      </w:r>
      <w:r>
        <w:rPr>
          <w:rFonts w:hint="eastAsia" w:ascii="Times New Roman" w:hAnsi="Times New Roman" w:cs="Times New Roman"/>
          <w:highlight w:val="none"/>
        </w:rPr>
        <w:t>（供应商的评审价评审情况）</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w:t>
      </w:r>
      <w:r>
        <w:rPr>
          <w:rFonts w:hint="eastAsia" w:ascii="Times New Roman" w:hAnsi="Times New Roman" w:cs="Times New Roman"/>
          <w:highlight w:val="none"/>
        </w:rPr>
        <w:t>.</w:t>
      </w:r>
      <w:r>
        <w:rPr>
          <w:rFonts w:ascii="Times New Roman" w:hAnsi="Times New Roman" w:cs="Times New Roman"/>
          <w:highlight w:val="none"/>
        </w:rPr>
        <w:t>否决的供应商名单以及否决理由（如有）</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w:t>
      </w:r>
      <w:r>
        <w:rPr>
          <w:rFonts w:ascii="Times New Roman" w:hAnsi="Times New Roman" w:cs="Times New Roman"/>
          <w:highlight w:val="none"/>
        </w:rPr>
        <w:t>推荐候选供应商排序</w:t>
      </w:r>
    </w:p>
    <w:p>
      <w:pPr>
        <w:spacing w:line="440" w:lineRule="exact"/>
        <w:ind w:firstLine="420"/>
        <w:rPr>
          <w:rFonts w:ascii="Times New Roman" w:hAnsi="Times New Roman" w:cs="Times New Roman"/>
          <w:highlight w:val="none"/>
        </w:rPr>
      </w:pPr>
      <w:bookmarkStart w:id="151" w:name="_Toc13397_WPSOffice_Level2"/>
      <w:bookmarkStart w:id="152" w:name="_Toc3913_WPSOffice_Level2"/>
      <w:bookmarkStart w:id="153" w:name="_Toc5114_WPSOffice_Level2"/>
      <w:r>
        <w:rPr>
          <w:rFonts w:ascii="Times New Roman" w:hAnsi="Times New Roman" w:cs="Times New Roman"/>
          <w:highlight w:val="none"/>
        </w:rPr>
        <w:t>（五）需要说明的其他事项</w:t>
      </w:r>
      <w:bookmarkEnd w:id="151"/>
      <w:bookmarkEnd w:id="152"/>
      <w:bookmarkEnd w:id="153"/>
    </w:p>
    <w:p>
      <w:pPr>
        <w:spacing w:line="440" w:lineRule="exact"/>
        <w:ind w:firstLine="420"/>
        <w:rPr>
          <w:rFonts w:ascii="Times New Roman" w:hAnsi="Times New Roman" w:cs="Times New Roman"/>
          <w:highlight w:val="none"/>
        </w:rPr>
      </w:pPr>
      <w:bookmarkStart w:id="154" w:name="_Toc3031_WPSOffice_Level2"/>
      <w:bookmarkStart w:id="155" w:name="_Toc23800_WPSOffice_Level2"/>
      <w:bookmarkStart w:id="156" w:name="_Toc8934_WPSOffice_Level2"/>
      <w:r>
        <w:rPr>
          <w:rFonts w:ascii="Times New Roman" w:hAnsi="Times New Roman" w:cs="Times New Roman"/>
          <w:highlight w:val="none"/>
        </w:rPr>
        <w:t>（六）评审附表</w:t>
      </w:r>
      <w:bookmarkEnd w:id="154"/>
      <w:bookmarkEnd w:id="155"/>
      <w:bookmarkEnd w:id="156"/>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响应文件开启记录表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评审表格</w:t>
      </w:r>
    </w:p>
    <w:p>
      <w:pPr>
        <w:spacing w:line="440" w:lineRule="exact"/>
        <w:ind w:firstLine="420"/>
        <w:rPr>
          <w:rFonts w:ascii="Times New Roman" w:hAnsi="Times New Roman" w:cs="Times New Roman"/>
          <w:highlight w:val="none"/>
        </w:rPr>
      </w:pPr>
    </w:p>
    <w:p>
      <w:pPr>
        <w:pStyle w:val="2"/>
        <w:rPr>
          <w:highlight w:val="none"/>
        </w:rPr>
        <w:sectPr>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4"/>
        <w:numPr>
          <w:ilvl w:val="0"/>
          <w:numId w:val="0"/>
        </w:numPr>
        <w:spacing w:before="312" w:after="312"/>
        <w:ind w:leftChars="0"/>
        <w:rPr>
          <w:rFonts w:ascii="Times New Roman" w:hAnsi="Times New Roman" w:eastAsia="宋体" w:cs="Times New Roman"/>
          <w:highlight w:val="none"/>
        </w:rPr>
      </w:pPr>
      <w:bookmarkStart w:id="157" w:name="_Toc13270_WPSOffice_Level1"/>
      <w:r>
        <w:rPr>
          <w:rFonts w:hint="eastAsia" w:ascii="Times New Roman" w:hAnsi="Times New Roman" w:eastAsia="宋体" w:cs="Times New Roman"/>
          <w:highlight w:val="none"/>
          <w:lang w:val="en-US" w:eastAsia="zh-CN"/>
        </w:rPr>
        <w:t xml:space="preserve">第四章 </w:t>
      </w:r>
      <w:r>
        <w:rPr>
          <w:rFonts w:ascii="Times New Roman" w:hAnsi="Times New Roman" w:eastAsia="宋体" w:cs="Times New Roman"/>
          <w:highlight w:val="none"/>
        </w:rPr>
        <w:t>合同内容</w:t>
      </w:r>
      <w:bookmarkEnd w:id="157"/>
    </w:p>
    <w:p>
      <w:pPr>
        <w:rPr>
          <w:rFonts w:ascii="Calibri" w:hAnsi="Calibri" w:eastAsia="宋体" w:cs="Times New Roman"/>
          <w:szCs w:val="24"/>
          <w:highlight w:val="none"/>
        </w:rPr>
      </w:pPr>
      <w:bookmarkStart w:id="158" w:name="_Toc447808679"/>
      <w:bookmarkStart w:id="159" w:name="_Toc12005"/>
      <w:bookmarkStart w:id="160" w:name="_Toc16698_WPSOffice_Level2"/>
    </w:p>
    <w:p>
      <w:pPr>
        <w:wordWrap w:val="0"/>
        <w:jc w:val="right"/>
        <w:rPr>
          <w:rFonts w:hint="default" w:ascii="Calibri" w:hAnsi="Calibri" w:eastAsia="仿宋" w:cs="Times New Roman"/>
          <w:szCs w:val="24"/>
          <w:highlight w:val="none"/>
          <w:lang w:val="en-US" w:eastAsia="zh-CN"/>
        </w:rPr>
      </w:pPr>
      <w:r>
        <w:rPr>
          <w:rFonts w:hint="eastAsia" w:ascii="仿宋" w:hAnsi="仿宋" w:eastAsia="仿宋" w:cs="仿宋"/>
          <w:b w:val="0"/>
          <w:bCs w:val="0"/>
          <w:kern w:val="2"/>
          <w:sz w:val="32"/>
          <w:szCs w:val="32"/>
          <w:u w:val="none"/>
          <w:shd w:val="clear" w:color="auto" w:fill="auto"/>
          <w:lang w:val="zh-TW" w:eastAsia="zh-TW" w:bidi="ar-SA"/>
        </w:rPr>
        <w:t>合同编号：</w:t>
      </w:r>
      <w:r>
        <w:rPr>
          <w:rFonts w:hint="eastAsia" w:ascii="仿宋" w:hAnsi="仿宋" w:eastAsia="仿宋" w:cs="仿宋"/>
          <w:b w:val="0"/>
          <w:bCs w:val="0"/>
          <w:kern w:val="2"/>
          <w:sz w:val="32"/>
          <w:szCs w:val="32"/>
          <w:u w:val="none"/>
          <w:shd w:val="clear" w:color="auto" w:fill="auto"/>
          <w:lang w:val="en-US" w:eastAsia="zh-CN" w:bidi="ar-SA"/>
        </w:rPr>
        <w:t xml:space="preserve">        </w:t>
      </w:r>
    </w:p>
    <w:p>
      <w:pPr>
        <w:rPr>
          <w:rFonts w:ascii="Calibri" w:hAnsi="Calibri" w:eastAsia="宋体" w:cs="Times New Roman"/>
          <w:szCs w:val="24"/>
          <w:highlight w:val="none"/>
        </w:rPr>
      </w:pPr>
    </w:p>
    <w:p>
      <w:pPr>
        <w:widowControl/>
        <w:jc w:val="center"/>
        <w:rPr>
          <w:rFonts w:ascii="宋体" w:hAnsi="宋体" w:eastAsia="宋体" w:cs="黑体"/>
          <w:b/>
          <w:sz w:val="84"/>
          <w:szCs w:val="84"/>
          <w:highlight w:val="none"/>
        </w:rPr>
      </w:pPr>
    </w:p>
    <w:p>
      <w:pPr>
        <w:widowControl/>
        <w:jc w:val="center"/>
        <w:rPr>
          <w:rFonts w:hint="eastAsia" w:ascii="宋体" w:hAnsi="宋体" w:eastAsia="宋体" w:cs="宋体"/>
          <w:b/>
          <w:bCs/>
          <w:color w:val="000000"/>
          <w:spacing w:val="0"/>
          <w:w w:val="100"/>
          <w:kern w:val="2"/>
          <w:position w:val="0"/>
          <w:sz w:val="44"/>
          <w:szCs w:val="44"/>
          <w:u w:val="none"/>
          <w:shd w:val="clear" w:color="auto" w:fill="auto"/>
          <w:lang w:val="en-US" w:eastAsia="zh-CN" w:bidi="zh-TW"/>
        </w:rPr>
      </w:pPr>
      <w:r>
        <w:rPr>
          <w:rFonts w:hint="eastAsia" w:ascii="宋体" w:hAnsi="宋体" w:eastAsia="宋体" w:cs="宋体"/>
          <w:b/>
          <w:bCs/>
          <w:color w:val="000000"/>
          <w:spacing w:val="0"/>
          <w:w w:val="100"/>
          <w:kern w:val="2"/>
          <w:position w:val="0"/>
          <w:sz w:val="44"/>
          <w:szCs w:val="44"/>
          <w:u w:val="none"/>
          <w:shd w:val="clear" w:color="auto" w:fill="auto"/>
          <w:lang w:val="en-US" w:eastAsia="zh-CN" w:bidi="zh-TW"/>
        </w:rPr>
        <w:t>深圳安联尚璟府项目智慧泵房研究及应用服务合同</w:t>
      </w:r>
    </w:p>
    <w:p>
      <w:pPr>
        <w:widowControl/>
        <w:jc w:val="left"/>
        <w:rPr>
          <w:rFonts w:ascii="黑体" w:hAnsi="黑体" w:eastAsia="黑体" w:cs="黑体"/>
          <w:b/>
          <w:sz w:val="44"/>
          <w:szCs w:val="44"/>
          <w:highlight w:val="none"/>
        </w:rPr>
      </w:pPr>
    </w:p>
    <w:p>
      <w:pPr>
        <w:widowControl/>
        <w:jc w:val="left"/>
        <w:rPr>
          <w:rFonts w:ascii="黑体" w:hAnsi="黑体" w:eastAsia="黑体" w:cs="黑体"/>
          <w:b/>
          <w:sz w:val="44"/>
          <w:szCs w:val="44"/>
          <w:highlight w:val="none"/>
        </w:rPr>
      </w:pPr>
    </w:p>
    <w:p>
      <w:pPr>
        <w:widowControl/>
        <w:jc w:val="left"/>
        <w:rPr>
          <w:rFonts w:ascii="黑体" w:hAnsi="黑体" w:eastAsia="黑体" w:cs="黑体"/>
          <w:b/>
          <w:sz w:val="44"/>
          <w:szCs w:val="44"/>
          <w:highlight w:val="none"/>
        </w:rPr>
      </w:pPr>
    </w:p>
    <w:p>
      <w:pPr>
        <w:widowControl/>
        <w:jc w:val="left"/>
        <w:rPr>
          <w:rFonts w:ascii="黑体" w:hAnsi="黑体" w:eastAsia="黑体" w:cs="黑体"/>
          <w:b/>
          <w:sz w:val="44"/>
          <w:szCs w:val="44"/>
          <w:highlight w:val="none"/>
        </w:rPr>
      </w:pPr>
    </w:p>
    <w:p>
      <w:pPr>
        <w:widowControl/>
        <w:jc w:val="left"/>
        <w:rPr>
          <w:rFonts w:ascii="黑体" w:hAnsi="黑体" w:eastAsia="黑体" w:cs="黑体"/>
          <w:b/>
          <w:sz w:val="44"/>
          <w:szCs w:val="44"/>
          <w:highlight w:val="none"/>
        </w:rPr>
      </w:pPr>
    </w:p>
    <w:p>
      <w:pPr>
        <w:widowControl/>
        <w:jc w:val="center"/>
        <w:rPr>
          <w:rFonts w:ascii="黑体" w:hAnsi="黑体" w:eastAsia="黑体" w:cs="黑体"/>
          <w:b/>
          <w:bCs/>
          <w:sz w:val="44"/>
          <w:szCs w:val="44"/>
          <w:highlight w:val="none"/>
        </w:rPr>
      </w:pPr>
    </w:p>
    <w:p>
      <w:pPr>
        <w:widowControl/>
        <w:jc w:val="center"/>
        <w:rPr>
          <w:rFonts w:ascii="黑体" w:hAnsi="黑体" w:eastAsia="黑体" w:cs="黑体"/>
          <w:b/>
          <w:bCs/>
          <w:sz w:val="44"/>
          <w:szCs w:val="44"/>
          <w:highlight w:val="none"/>
        </w:rPr>
      </w:pPr>
    </w:p>
    <w:p>
      <w:pPr>
        <w:widowControl/>
        <w:spacing w:line="400" w:lineRule="exact"/>
        <w:rPr>
          <w:rFonts w:ascii="黑体" w:hAnsi="黑体" w:eastAsia="黑体" w:cs="黑体"/>
          <w:b/>
          <w:sz w:val="36"/>
          <w:szCs w:val="36"/>
          <w:highlight w:val="none"/>
        </w:rPr>
      </w:pPr>
    </w:p>
    <w:p>
      <w:pPr>
        <w:widowControl/>
        <w:spacing w:line="400" w:lineRule="exact"/>
        <w:rPr>
          <w:rFonts w:ascii="黑体" w:hAnsi="黑体" w:eastAsia="黑体" w:cs="黑体"/>
          <w:b/>
          <w:sz w:val="36"/>
          <w:szCs w:val="36"/>
          <w:highlight w:val="none"/>
        </w:rPr>
      </w:pPr>
    </w:p>
    <w:p>
      <w:pPr>
        <w:spacing w:after="240"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    方：</w:t>
      </w:r>
      <w:r>
        <w:rPr>
          <w:rFonts w:hint="eastAsia" w:ascii="仿宋" w:hAnsi="仿宋" w:eastAsia="仿宋" w:cs="仿宋"/>
          <w:sz w:val="32"/>
          <w:szCs w:val="32"/>
          <w:u w:val="single"/>
          <w:lang w:val="en-US" w:eastAsia="zh-CN"/>
        </w:rPr>
        <w:t>深圳市安之联置业有限公司</w:t>
      </w:r>
    </w:p>
    <w:p>
      <w:pPr>
        <w:spacing w:after="240" w:line="360" w:lineRule="auto"/>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乙    方：</w:t>
      </w:r>
      <w:r>
        <w:rPr>
          <w:rFonts w:hint="eastAsia" w:ascii="仿宋" w:hAnsi="仿宋" w:eastAsia="仿宋" w:cs="仿宋"/>
          <w:sz w:val="32"/>
          <w:szCs w:val="32"/>
          <w:u w:val="single"/>
          <w:lang w:val="en-US" w:eastAsia="zh-CN"/>
        </w:rPr>
        <w:t xml:space="preserve">                        </w:t>
      </w:r>
    </w:p>
    <w:p>
      <w:pPr>
        <w:spacing w:after="240" w:line="360" w:lineRule="auto"/>
        <w:ind w:firstLine="640" w:firstLineChars="200"/>
        <w:rPr>
          <w:rFonts w:ascii="仿宋_GB2312" w:hAnsi="黑体" w:eastAsia="仿宋_GB2312" w:cs="黑体"/>
          <w:b/>
          <w:sz w:val="36"/>
          <w:szCs w:val="36"/>
          <w:highlight w:val="none"/>
        </w:rPr>
      </w:pPr>
      <w:r>
        <w:rPr>
          <w:rFonts w:hint="eastAsia" w:ascii="仿宋" w:hAnsi="仿宋" w:eastAsia="仿宋" w:cs="仿宋"/>
          <w:sz w:val="32"/>
          <w:szCs w:val="32"/>
          <w:lang w:val="en-US" w:eastAsia="zh-CN"/>
        </w:rPr>
        <w:t>签订时间：</w:t>
      </w:r>
      <w:r>
        <w:rPr>
          <w:rFonts w:hint="eastAsia" w:ascii="仿宋" w:hAnsi="仿宋" w:eastAsia="仿宋" w:cs="仿宋"/>
          <w:sz w:val="32"/>
          <w:szCs w:val="32"/>
          <w:u w:val="single"/>
          <w:lang w:val="en-US" w:eastAsia="zh-CN"/>
        </w:rPr>
        <w:t xml:space="preserve">                        </w:t>
      </w:r>
    </w:p>
    <w:p>
      <w:pPr>
        <w:widowControl/>
        <w:jc w:val="left"/>
        <w:rPr>
          <w:rFonts w:ascii="黑体" w:hAnsi="黑体" w:eastAsia="黑体" w:cs="黑体"/>
          <w:sz w:val="36"/>
          <w:szCs w:val="36"/>
          <w:highlight w:val="none"/>
        </w:rPr>
      </w:pPr>
    </w:p>
    <w:p>
      <w:pPr>
        <w:spacing w:line="560" w:lineRule="exact"/>
        <w:ind w:firstLine="560" w:firstLineChars="200"/>
        <w:rPr>
          <w:rFonts w:hint="eastAsia" w:ascii="仿宋_GB2312" w:hAnsi="仿宋_GB2312" w:eastAsia="仿宋_GB2312" w:cs="仿宋_GB2312"/>
          <w:b/>
          <w:sz w:val="28"/>
          <w:szCs w:val="28"/>
          <w:highlight w:val="none"/>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560" w:lineRule="exact"/>
        <w:ind w:firstLine="560" w:firstLineChars="200"/>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甲方：</w:t>
      </w:r>
      <w:r>
        <w:rPr>
          <w:rFonts w:hint="eastAsia" w:ascii="仿宋_GB2312" w:hAnsi="仿宋_GB2312" w:eastAsia="仿宋_GB2312" w:cs="仿宋_GB2312"/>
          <w:b/>
          <w:sz w:val="28"/>
          <w:szCs w:val="28"/>
          <w:highlight w:val="none"/>
          <w:lang w:eastAsia="zh-CN"/>
        </w:rPr>
        <w:t xml:space="preserve">深圳市安之联置业有限公司 </w:t>
      </w:r>
      <w:r>
        <w:rPr>
          <w:rFonts w:hint="eastAsia" w:ascii="仿宋_GB2312" w:hAnsi="仿宋_GB2312" w:eastAsia="仿宋_GB2312" w:cs="仿宋_GB2312"/>
          <w:b/>
          <w:sz w:val="28"/>
          <w:szCs w:val="28"/>
          <w:highlight w:val="none"/>
        </w:rPr>
        <w:t xml:space="preserve">  </w:t>
      </w:r>
    </w:p>
    <w:p>
      <w:pPr>
        <w:pStyle w:val="11"/>
        <w:tabs>
          <w:tab w:val="left" w:pos="-480"/>
        </w:tabs>
        <w:spacing w:line="560" w:lineRule="exact"/>
        <w:ind w:left="0" w:leftChars="0" w:firstLine="560" w:firstLineChars="200"/>
        <w:rPr>
          <w:rFonts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 xml:space="preserve">乙方： </w:t>
      </w:r>
    </w:p>
    <w:p>
      <w:pPr>
        <w:pStyle w:val="35"/>
        <w:numPr>
          <w:ilvl w:val="255"/>
          <w:numId w:val="0"/>
        </w:numPr>
        <w:spacing w:line="560" w:lineRule="exact"/>
        <w:ind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根据《中华人民共和国民法典》及有关法律规定，遵循平等、自愿、公平和诚实信用的原则，甲乙双方现就科技创新课题研发服务事宜，经协商一致，订立本合同，以资双方共同遵守。 </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9" w:firstLineChars="213"/>
        <w:textAlignment w:val="auto"/>
        <w:rPr>
          <w:rFonts w:ascii="仿宋_GB2312" w:hAnsi="仿宋_GB2312" w:eastAsia="仿宋_GB2312" w:cs="仿宋_GB2312"/>
          <w:b/>
          <w:sz w:val="30"/>
          <w:szCs w:val="30"/>
          <w:highlight w:val="none"/>
        </w:rPr>
      </w:pPr>
      <w:r>
        <w:rPr>
          <w:rFonts w:hint="default" w:ascii="仿宋_GB2312" w:hAnsi="仿宋_GB2312" w:eastAsia="仿宋_GB2312" w:cs="仿宋_GB2312"/>
          <w:b/>
          <w:kern w:val="2"/>
          <w:sz w:val="30"/>
          <w:szCs w:val="30"/>
          <w:lang w:val="en-US" w:eastAsia="zh-CN" w:bidi="ar-SA"/>
        </w:rPr>
        <w:t>一、</w:t>
      </w:r>
      <w:r>
        <w:rPr>
          <w:rFonts w:hint="eastAsia" w:ascii="仿宋_GB2312" w:hAnsi="仿宋_GB2312" w:eastAsia="仿宋_GB2312" w:cs="仿宋_GB2312"/>
          <w:b/>
          <w:sz w:val="30"/>
          <w:szCs w:val="30"/>
          <w:highlight w:val="none"/>
        </w:rPr>
        <w:t>适用范围及科技创新课题研发服务时间</w:t>
      </w:r>
    </w:p>
    <w:p>
      <w:pPr>
        <w:pStyle w:val="35"/>
        <w:numPr>
          <w:ilvl w:val="0"/>
          <w:numId w:val="5"/>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工作内容包括但不限于：住宅小区智慧泵房研究及应用。</w:t>
      </w:r>
    </w:p>
    <w:p>
      <w:pPr>
        <w:pStyle w:val="35"/>
        <w:numPr>
          <w:ilvl w:val="0"/>
          <w:numId w:val="5"/>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合同期限：本合同有效期自甲乙双方签字盖章生效之日起</w:t>
      </w:r>
      <w:r>
        <w:rPr>
          <w:rFonts w:hint="eastAsia" w:ascii="仿宋_GB2312" w:hAnsi="仿宋_GB2312" w:eastAsia="仿宋_GB2312" w:cs="仿宋_GB2312"/>
          <w:sz w:val="30"/>
          <w:szCs w:val="30"/>
          <w:highlight w:val="none"/>
          <w:u w:val="single"/>
        </w:rPr>
        <w:t>至2023年1</w:t>
      </w:r>
      <w:r>
        <w:rPr>
          <w:rFonts w:hint="eastAsia" w:ascii="仿宋_GB2312" w:hAnsi="仿宋_GB2312" w:eastAsia="仿宋_GB2312" w:cs="仿宋_GB2312"/>
          <w:sz w:val="30"/>
          <w:szCs w:val="30"/>
          <w:highlight w:val="none"/>
          <w:u w:val="single"/>
          <w:lang w:val="en-US" w:eastAsia="zh-CN"/>
        </w:rPr>
        <w:t>2</w:t>
      </w:r>
      <w:r>
        <w:rPr>
          <w:rFonts w:hint="eastAsia" w:ascii="仿宋_GB2312" w:hAnsi="仿宋_GB2312" w:eastAsia="仿宋_GB2312" w:cs="仿宋_GB2312"/>
          <w:sz w:val="30"/>
          <w:szCs w:val="30"/>
          <w:highlight w:val="none"/>
          <w:u w:val="single"/>
        </w:rPr>
        <w:t>月3</w:t>
      </w:r>
      <w:r>
        <w:rPr>
          <w:rFonts w:hint="eastAsia" w:ascii="仿宋_GB2312" w:hAnsi="仿宋_GB2312" w:eastAsia="仿宋_GB2312" w:cs="仿宋_GB2312"/>
          <w:sz w:val="30"/>
          <w:szCs w:val="30"/>
          <w:highlight w:val="none"/>
          <w:u w:val="single"/>
          <w:lang w:val="en-US" w:eastAsia="zh-CN"/>
        </w:rPr>
        <w:t>1</w:t>
      </w:r>
      <w:r>
        <w:rPr>
          <w:rFonts w:hint="eastAsia" w:ascii="仿宋_GB2312" w:hAnsi="仿宋_GB2312" w:eastAsia="仿宋_GB2312" w:cs="仿宋_GB2312"/>
          <w:sz w:val="30"/>
          <w:szCs w:val="30"/>
          <w:highlight w:val="none"/>
          <w:u w:val="single"/>
        </w:rPr>
        <w:t>日止。</w:t>
      </w:r>
    </w:p>
    <w:p>
      <w:pPr>
        <w:pStyle w:val="35"/>
        <w:numPr>
          <w:ilvl w:val="0"/>
          <w:numId w:val="5"/>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科技创新课题研发服务</w:t>
      </w:r>
      <w:r>
        <w:rPr>
          <w:rFonts w:hint="eastAsia" w:ascii="仿宋_GB2312" w:hAnsi="仿宋_GB2312" w:eastAsia="仿宋_GB2312" w:cs="仿宋_GB2312"/>
          <w:sz w:val="30"/>
          <w:szCs w:val="30"/>
          <w:highlight w:val="none"/>
          <w:lang w:val="en-US" w:eastAsia="zh-CN"/>
        </w:rPr>
        <w:t>时间节点要求</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2023年6月30日前完成科技创新课题立项及课题大纲编制，2023年10月31日前完成研究成果总结及论文撰写，2023年12月31日前完成期刊发表专业论文。</w:t>
      </w:r>
    </w:p>
    <w:p>
      <w:pPr>
        <w:pStyle w:val="35"/>
        <w:numPr>
          <w:ilvl w:val="0"/>
          <w:numId w:val="0"/>
        </w:numPr>
        <w:spacing w:line="560" w:lineRule="exact"/>
        <w:ind w:left="0" w:leftChars="0" w:firstLine="639" w:firstLineChars="213"/>
        <w:rPr>
          <w:rFonts w:ascii="仿宋_GB2312" w:hAnsi="仿宋_GB2312" w:eastAsia="仿宋_GB2312" w:cs="仿宋_GB2312"/>
          <w:b/>
          <w:sz w:val="30"/>
          <w:szCs w:val="30"/>
          <w:highlight w:val="none"/>
        </w:rPr>
      </w:pPr>
      <w:r>
        <w:rPr>
          <w:rFonts w:hint="default" w:ascii="仿宋_GB2312" w:hAnsi="仿宋_GB2312" w:eastAsia="仿宋_GB2312" w:cs="仿宋_GB2312"/>
          <w:b/>
          <w:kern w:val="2"/>
          <w:sz w:val="30"/>
          <w:szCs w:val="30"/>
          <w:lang w:val="en-US" w:eastAsia="zh-CN" w:bidi="ar-SA"/>
        </w:rPr>
        <w:t>二、</w:t>
      </w:r>
      <w:r>
        <w:rPr>
          <w:rFonts w:hint="eastAsia" w:ascii="仿宋_GB2312" w:hAnsi="仿宋_GB2312" w:eastAsia="仿宋_GB2312" w:cs="仿宋_GB2312"/>
          <w:b/>
          <w:sz w:val="30"/>
          <w:szCs w:val="30"/>
          <w:highlight w:val="none"/>
        </w:rPr>
        <w:t>科技创新课题研发服务依据</w:t>
      </w:r>
    </w:p>
    <w:p>
      <w:pPr>
        <w:pStyle w:val="35"/>
        <w:numPr>
          <w:ilvl w:val="0"/>
          <w:numId w:val="6"/>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甲方对科技创新课题的管理要求；</w:t>
      </w:r>
    </w:p>
    <w:p>
      <w:pPr>
        <w:pStyle w:val="35"/>
        <w:numPr>
          <w:ilvl w:val="0"/>
          <w:numId w:val="6"/>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依托项目的相关设计成果文件及项目现场施工情况；</w:t>
      </w:r>
    </w:p>
    <w:p>
      <w:pPr>
        <w:pStyle w:val="35"/>
        <w:numPr>
          <w:ilvl w:val="0"/>
          <w:numId w:val="6"/>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国家及地方的工程建设法律、法规、验收规范与标准；</w:t>
      </w:r>
    </w:p>
    <w:p>
      <w:pPr>
        <w:pStyle w:val="35"/>
        <w:numPr>
          <w:ilvl w:val="0"/>
          <w:numId w:val="6"/>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工程建设有关的政府部门的批准文件；</w:t>
      </w:r>
    </w:p>
    <w:p>
      <w:pPr>
        <w:pStyle w:val="35"/>
        <w:numPr>
          <w:ilvl w:val="0"/>
          <w:numId w:val="6"/>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其他相关依据等。</w:t>
      </w:r>
    </w:p>
    <w:p>
      <w:pPr>
        <w:pStyle w:val="35"/>
        <w:numPr>
          <w:ilvl w:val="0"/>
          <w:numId w:val="0"/>
        </w:numPr>
        <w:spacing w:line="560" w:lineRule="exact"/>
        <w:ind w:left="0" w:leftChars="0" w:firstLine="639" w:firstLineChars="213"/>
        <w:rPr>
          <w:rFonts w:ascii="仿宋_GB2312" w:hAnsi="仿宋_GB2312" w:eastAsia="仿宋_GB2312" w:cs="仿宋_GB2312"/>
          <w:b/>
          <w:sz w:val="30"/>
          <w:szCs w:val="30"/>
          <w:highlight w:val="none"/>
        </w:rPr>
      </w:pPr>
      <w:r>
        <w:rPr>
          <w:rFonts w:hint="default" w:ascii="仿宋_GB2312" w:hAnsi="仿宋_GB2312" w:eastAsia="仿宋_GB2312" w:cs="仿宋_GB2312"/>
          <w:b/>
          <w:kern w:val="2"/>
          <w:sz w:val="30"/>
          <w:szCs w:val="30"/>
          <w:lang w:val="en-US" w:eastAsia="zh-CN" w:bidi="ar-SA"/>
        </w:rPr>
        <w:t>三、</w:t>
      </w:r>
      <w:r>
        <w:rPr>
          <w:rFonts w:hint="eastAsia" w:ascii="仿宋_GB2312" w:hAnsi="仿宋_GB2312" w:eastAsia="仿宋_GB2312" w:cs="仿宋_GB2312"/>
          <w:b/>
          <w:sz w:val="30"/>
          <w:szCs w:val="30"/>
          <w:highlight w:val="none"/>
        </w:rPr>
        <w:t>科技创新课题研发服务方法及内容：</w:t>
      </w:r>
    </w:p>
    <w:p>
      <w:pPr>
        <w:pStyle w:val="44"/>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1、</w:t>
      </w:r>
      <w:r>
        <w:rPr>
          <w:rFonts w:hint="eastAsia" w:ascii="仿宋_GB2312" w:hAnsi="仿宋_GB2312" w:eastAsia="仿宋_GB2312" w:cs="仿宋_GB2312"/>
          <w:sz w:val="30"/>
          <w:szCs w:val="30"/>
          <w:highlight w:val="none"/>
        </w:rPr>
        <w:t>科技创新课题研发服务</w:t>
      </w:r>
      <w:r>
        <w:rPr>
          <w:rFonts w:hint="eastAsia" w:ascii="仿宋_GB2312" w:hAnsi="仿宋_GB2312" w:eastAsia="仿宋_GB2312" w:cs="仿宋_GB2312"/>
          <w:bCs/>
          <w:sz w:val="30"/>
          <w:szCs w:val="30"/>
          <w:highlight w:val="none"/>
        </w:rPr>
        <w:t>范围：以本合同服务内容明细为准；</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2、服务流程：</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a)</w:t>
      </w:r>
      <w:r>
        <w:rPr>
          <w:rFonts w:hint="eastAsia" w:ascii="仿宋_GB2312" w:hAnsi="仿宋_GB2312" w:eastAsia="仿宋_GB2312" w:cs="仿宋_GB2312"/>
          <w:bCs/>
          <w:sz w:val="30"/>
          <w:szCs w:val="30"/>
          <w:highlight w:val="none"/>
        </w:rPr>
        <w:tab/>
      </w:r>
      <w:r>
        <w:rPr>
          <w:rFonts w:hint="eastAsia" w:ascii="仿宋_GB2312" w:hAnsi="仿宋_GB2312" w:eastAsia="仿宋_GB2312" w:cs="仿宋_GB2312"/>
          <w:bCs/>
          <w:sz w:val="30"/>
          <w:szCs w:val="30"/>
          <w:highlight w:val="none"/>
        </w:rPr>
        <w:t>根据甲方的要求及现场进度，及时、合理组建课题研发团队。</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b)</w:t>
      </w:r>
      <w:r>
        <w:rPr>
          <w:rFonts w:hint="eastAsia" w:ascii="仿宋_GB2312" w:hAnsi="仿宋_GB2312" w:eastAsia="仿宋_GB2312" w:cs="仿宋_GB2312"/>
          <w:bCs/>
          <w:sz w:val="30"/>
          <w:szCs w:val="30"/>
          <w:highlight w:val="none"/>
        </w:rPr>
        <w:tab/>
      </w:r>
      <w:r>
        <w:rPr>
          <w:rFonts w:hint="eastAsia" w:ascii="仿宋_GB2312" w:hAnsi="仿宋_GB2312" w:eastAsia="仿宋_GB2312" w:cs="仿宋_GB2312"/>
          <w:bCs/>
          <w:sz w:val="30"/>
          <w:szCs w:val="30"/>
          <w:highlight w:val="none"/>
        </w:rPr>
        <w:t>乙方负责人及时与甲方负责人沟通，并定期汇报课题研发进度概况。</w:t>
      </w:r>
    </w:p>
    <w:p>
      <w:pPr>
        <w:widowControl/>
        <w:spacing w:line="560" w:lineRule="exact"/>
        <w:ind w:firstLine="639" w:firstLineChars="213"/>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c） 乙方按时完成各项课题研发工作，并配合甲方完成项目验收、结题、成果研发等工作。</w:t>
      </w:r>
    </w:p>
    <w:p>
      <w:pPr>
        <w:pStyle w:val="2"/>
        <w:ind w:firstLine="600"/>
        <w:rPr>
          <w:rFonts w:hint="default" w:ascii="仿宋_GB2312" w:hAnsi="仿宋_GB2312" w:eastAsia="仿宋_GB2312" w:cs="仿宋_GB2312"/>
          <w:bCs/>
          <w:sz w:val="30"/>
          <w:szCs w:val="30"/>
          <w:highlight w:val="none"/>
          <w:lang w:val="en-US" w:eastAsia="zh-Hans"/>
        </w:rPr>
      </w:pPr>
      <w:r>
        <w:rPr>
          <w:rFonts w:hint="eastAsia" w:ascii="仿宋_GB2312" w:hAnsi="仿宋_GB2312" w:eastAsia="仿宋_GB2312" w:cs="仿宋_GB2312"/>
          <w:bCs/>
          <w:sz w:val="30"/>
          <w:szCs w:val="30"/>
          <w:highlight w:val="none"/>
          <w:lang w:val="en-US" w:eastAsia="zh-Hans"/>
        </w:rPr>
        <w:t>乙方应当按照甲方确认的服务研发</w:t>
      </w:r>
      <w:r>
        <w:rPr>
          <w:rFonts w:hint="eastAsia" w:ascii="仿宋_GB2312" w:hAnsi="仿宋_GB2312" w:eastAsia="仿宋_GB2312" w:cs="仿宋_GB2312"/>
          <w:bCs/>
          <w:sz w:val="30"/>
          <w:szCs w:val="30"/>
          <w:highlight w:val="none"/>
          <w:lang w:val="en-US" w:eastAsia="zh-CN"/>
        </w:rPr>
        <w:t>时间节点要求</w:t>
      </w:r>
      <w:r>
        <w:rPr>
          <w:rFonts w:hint="eastAsia" w:ascii="仿宋_GB2312" w:hAnsi="仿宋_GB2312" w:eastAsia="仿宋_GB2312" w:cs="仿宋_GB2312"/>
          <w:bCs/>
          <w:sz w:val="30"/>
          <w:szCs w:val="30"/>
          <w:highlight w:val="none"/>
          <w:lang w:val="en-US" w:eastAsia="zh-Hans"/>
        </w:rPr>
        <w:t>进度，按期及时提交阶段性服务成果，并在提前成果前</w:t>
      </w:r>
      <w:r>
        <w:rPr>
          <w:rFonts w:hint="default" w:ascii="仿宋_GB2312" w:hAnsi="仿宋_GB2312" w:eastAsia="仿宋_GB2312" w:cs="仿宋_GB2312"/>
          <w:bCs/>
          <w:sz w:val="30"/>
          <w:szCs w:val="30"/>
          <w:highlight w:val="none"/>
          <w:lang w:eastAsia="zh-Hans"/>
        </w:rPr>
        <w:t>2</w:t>
      </w:r>
      <w:r>
        <w:rPr>
          <w:rFonts w:hint="eastAsia" w:ascii="仿宋_GB2312" w:hAnsi="仿宋_GB2312" w:eastAsia="仿宋_GB2312" w:cs="仿宋_GB2312"/>
          <w:bCs/>
          <w:sz w:val="30"/>
          <w:szCs w:val="30"/>
          <w:highlight w:val="none"/>
          <w:lang w:val="en-US" w:eastAsia="zh-Hans"/>
        </w:rPr>
        <w:t>日书面通知甲方验收。</w:t>
      </w:r>
    </w:p>
    <w:p>
      <w:pPr>
        <w:pStyle w:val="2"/>
        <w:ind w:firstLine="600"/>
        <w:rPr>
          <w:rFonts w:hint="default" w:eastAsia="仿宋_GB2312"/>
          <w:lang w:val="en-US" w:eastAsia="zh-Hans"/>
        </w:rPr>
      </w:pPr>
      <w:r>
        <w:rPr>
          <w:rFonts w:hint="eastAsia" w:ascii="仿宋_GB2312" w:hAnsi="仿宋_GB2312" w:eastAsia="仿宋_GB2312" w:cs="仿宋_GB2312"/>
          <w:bCs/>
          <w:sz w:val="30"/>
          <w:szCs w:val="30"/>
          <w:highlight w:val="none"/>
          <w:lang w:val="en-US" w:eastAsia="zh-Hans"/>
        </w:rPr>
        <w:t>如验收不合格，乙方应当在甲方要求的时间内进行修正并重新组织甲方验收，因此造成阶段性服务工作的服务时间延期的，乙方应当承担逾期交付服务成果的责任。</w:t>
      </w:r>
    </w:p>
    <w:p>
      <w:pPr>
        <w:widowControl/>
        <w:spacing w:line="560" w:lineRule="exact"/>
        <w:ind w:firstLine="639" w:firstLineChars="213"/>
        <w:rPr>
          <w:rFonts w:ascii="仿宋_GB2312" w:hAnsi="仿宋_GB2312" w:eastAsia="仿宋_GB2312" w:cs="仿宋_GB2312"/>
          <w:bCs/>
          <w:sz w:val="30"/>
          <w:szCs w:val="30"/>
          <w:highlight w:val="none"/>
        </w:rPr>
      </w:pPr>
      <w:r>
        <w:rPr>
          <w:rFonts w:ascii="仿宋_GB2312" w:hAnsi="仿宋_GB2312" w:eastAsia="仿宋_GB2312" w:cs="仿宋_GB2312"/>
          <w:bCs/>
          <w:sz w:val="30"/>
          <w:szCs w:val="30"/>
          <w:highlight w:val="none"/>
        </w:rPr>
        <w:t>3</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服务成果反馈形式和时间：</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a)</w:t>
      </w:r>
      <w:r>
        <w:rPr>
          <w:rFonts w:hint="eastAsia" w:ascii="仿宋_GB2312" w:hAnsi="仿宋_GB2312" w:eastAsia="仿宋_GB2312" w:cs="仿宋_GB2312"/>
          <w:bCs/>
          <w:sz w:val="30"/>
          <w:szCs w:val="30"/>
          <w:highlight w:val="none"/>
        </w:rPr>
        <w:tab/>
      </w:r>
      <w:r>
        <w:rPr>
          <w:rFonts w:hint="eastAsia" w:ascii="仿宋_GB2312" w:hAnsi="仿宋_GB2312" w:eastAsia="仿宋_GB2312" w:cs="仿宋_GB2312"/>
          <w:bCs/>
          <w:sz w:val="30"/>
          <w:szCs w:val="30"/>
          <w:highlight w:val="none"/>
        </w:rPr>
        <w:t>乙方于验收完成后5日内发送</w:t>
      </w:r>
      <w:r>
        <w:rPr>
          <w:rFonts w:hint="eastAsia" w:ascii="仿宋_GB2312" w:hAnsi="仿宋_GB2312" w:eastAsia="仿宋_GB2312" w:cs="仿宋_GB2312"/>
          <w:bCs/>
          <w:sz w:val="30"/>
          <w:szCs w:val="30"/>
          <w:highlight w:val="none"/>
          <w:u w:val="single"/>
        </w:rPr>
        <w:t>4份</w:t>
      </w:r>
      <w:r>
        <w:rPr>
          <w:rFonts w:hint="eastAsia" w:ascii="仿宋_GB2312" w:hAnsi="仿宋_GB2312" w:eastAsia="仿宋_GB2312" w:cs="仿宋_GB2312"/>
          <w:bCs/>
          <w:sz w:val="30"/>
          <w:szCs w:val="30"/>
          <w:highlight w:val="none"/>
        </w:rPr>
        <w:t>纸质版结题报告及</w:t>
      </w:r>
      <w:r>
        <w:rPr>
          <w:rFonts w:hint="eastAsia" w:ascii="仿宋_GB2312" w:hAnsi="仿宋_GB2312" w:eastAsia="仿宋_GB2312" w:cs="仿宋_GB2312"/>
          <w:bCs/>
          <w:sz w:val="30"/>
          <w:szCs w:val="30"/>
          <w:highlight w:val="none"/>
          <w:u w:val="single"/>
        </w:rPr>
        <w:t>1份</w:t>
      </w:r>
      <w:r>
        <w:rPr>
          <w:rFonts w:hint="eastAsia" w:ascii="仿宋_GB2312" w:hAnsi="仿宋_GB2312" w:eastAsia="仿宋_GB2312" w:cs="仿宋_GB2312"/>
          <w:bCs/>
          <w:sz w:val="30"/>
          <w:szCs w:val="30"/>
          <w:highlight w:val="none"/>
        </w:rPr>
        <w:t>电子档结题报告至甲方；</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b)</w:t>
      </w:r>
      <w:r>
        <w:rPr>
          <w:rFonts w:hint="eastAsia" w:ascii="仿宋_GB2312" w:hAnsi="仿宋_GB2312" w:eastAsia="仿宋_GB2312" w:cs="仿宋_GB2312"/>
          <w:bCs/>
          <w:sz w:val="30"/>
          <w:szCs w:val="30"/>
          <w:highlight w:val="none"/>
        </w:rPr>
        <w:tab/>
      </w:r>
      <w:r>
        <w:rPr>
          <w:rFonts w:hint="eastAsia" w:ascii="仿宋_GB2312" w:hAnsi="仿宋_GB2312" w:eastAsia="仿宋_GB2312" w:cs="仿宋_GB2312"/>
          <w:bCs/>
          <w:sz w:val="30"/>
          <w:szCs w:val="30"/>
          <w:highlight w:val="none"/>
        </w:rPr>
        <w:t>根据甲方要求，阶段性节点验收成果，包括但不限于课题研发大纲、中期研发成果、论文等，按时提供服务报告。</w:t>
      </w:r>
    </w:p>
    <w:p>
      <w:pPr>
        <w:widowControl/>
        <w:spacing w:line="560" w:lineRule="exact"/>
        <w:ind w:firstLine="639" w:firstLineChars="213"/>
        <w:rPr>
          <w:rFonts w:ascii="仿宋_GB2312" w:hAnsi="仿宋_GB2312" w:eastAsia="仿宋_GB2312" w:cs="仿宋_GB2312"/>
          <w:bCs/>
          <w:sz w:val="30"/>
          <w:szCs w:val="30"/>
          <w:highlight w:val="none"/>
        </w:rPr>
      </w:pPr>
      <w:r>
        <w:rPr>
          <w:rFonts w:ascii="仿宋_GB2312" w:hAnsi="仿宋_GB2312" w:eastAsia="仿宋_GB2312" w:cs="仿宋_GB2312"/>
          <w:bCs/>
          <w:sz w:val="30"/>
          <w:szCs w:val="30"/>
          <w:highlight w:val="none"/>
        </w:rPr>
        <w:t>4</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项目对接</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1）甲方对接信息</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a）甲方指定唯一对接邮箱：</w:t>
      </w:r>
      <w:r>
        <w:rPr>
          <w:rFonts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（此邮箱为甲方接收乙方电子资料唯一邮箱）；</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b）甲方项目负责人</w:t>
      </w:r>
      <w:r>
        <w:rPr>
          <w:rFonts w:hint="eastAsia" w:ascii="仿宋_GB2312" w:hAnsi="仿宋_GB2312" w:eastAsia="仿宋_GB2312" w:cs="仿宋_GB2312"/>
          <w:bCs/>
          <w:sz w:val="30"/>
          <w:szCs w:val="30"/>
          <w:highlight w:val="none"/>
          <w:u w:val="single"/>
        </w:rPr>
        <w:t>：</w:t>
      </w:r>
      <w:r>
        <w:rPr>
          <w:rFonts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，联系方式：</w:t>
      </w:r>
      <w:r>
        <w:rPr>
          <w:rFonts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（此项目负责人为甲方项目现场与乙方唯一沟通联系人；甲方其他项目负责人如有需要沟通事项，需通过甲方指定联系人）；</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2）乙方对接信息</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a）乙方指定唯一对接邮箱：</w:t>
      </w:r>
      <w:r>
        <w:rPr>
          <w:rFonts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（此邮箱为乙方发送甲方电子资料唯一邮箱）；</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b）乙方项目负责人：</w:t>
      </w:r>
      <w:r>
        <w:rPr>
          <w:rFonts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，联系方式：</w:t>
      </w:r>
      <w:r>
        <w:rPr>
          <w:rFonts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（此项目负责人为乙方项目现场与甲方唯一沟通联系人）；</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c）乙方公司指定负责人</w:t>
      </w:r>
      <w:r>
        <w:rPr>
          <w:rFonts w:hint="eastAsia" w:ascii="仿宋_GB2312" w:hAnsi="仿宋_GB2312" w:eastAsia="仿宋_GB2312" w:cs="仿宋_GB2312"/>
          <w:bCs/>
          <w:sz w:val="30"/>
          <w:szCs w:val="30"/>
          <w:highlight w:val="none"/>
          <w:u w:val="single"/>
        </w:rPr>
        <w:t>：</w:t>
      </w:r>
      <w:r>
        <w:rPr>
          <w:rFonts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，联系方式：</w:t>
      </w:r>
      <w:r>
        <w:rPr>
          <w:rFonts w:hint="eastAsia" w:ascii="仿宋_GB2312" w:hAnsi="仿宋_GB2312" w:eastAsia="仿宋_GB2312" w:cs="仿宋_GB2312"/>
          <w:bCs/>
          <w:sz w:val="30"/>
          <w:szCs w:val="30"/>
          <w:highlight w:val="none"/>
          <w:u w:val="single"/>
        </w:rPr>
        <w:t xml:space="preserve">      </w:t>
      </w:r>
      <w:r>
        <w:rPr>
          <w:rFonts w:hint="eastAsia" w:ascii="仿宋_GB2312" w:hAnsi="仿宋_GB2312" w:eastAsia="仿宋_GB2312" w:cs="仿宋_GB2312"/>
          <w:bCs/>
          <w:sz w:val="30"/>
          <w:szCs w:val="30"/>
          <w:highlight w:val="none"/>
        </w:rPr>
        <w:t xml:space="preserve"> （如项目现场出现无法调解争议，由公司负责人沟通）。</w:t>
      </w:r>
    </w:p>
    <w:p>
      <w:pPr>
        <w:widowControl/>
        <w:spacing w:line="560" w:lineRule="exact"/>
        <w:ind w:firstLine="639" w:firstLineChars="213"/>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3）甲乙双方如联系方式出现变更，应提前5天，以电子邮件形式通知对方，并确定收到对方回复。</w:t>
      </w:r>
    </w:p>
    <w:p>
      <w:pPr>
        <w:widowControl/>
        <w:spacing w:line="560" w:lineRule="exact"/>
        <w:ind w:firstLine="639" w:firstLineChars="213"/>
        <w:rPr>
          <w:rFonts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四、科技创新课题研发服务费用</w:t>
      </w:r>
    </w:p>
    <w:p>
      <w:pPr>
        <w:pStyle w:val="35"/>
        <w:numPr>
          <w:ilvl w:val="0"/>
          <w:numId w:val="7"/>
        </w:numPr>
        <w:spacing w:line="560" w:lineRule="exact"/>
        <w:ind w:left="0" w:firstLine="639" w:firstLineChars="213"/>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合同含税固定总金额为人民币（大写）：</w:t>
      </w:r>
      <w:r>
        <w:rPr>
          <w:rFonts w:ascii="仿宋_GB2312" w:hAnsi="仿宋_GB2312" w:eastAsia="仿宋_GB2312" w:cs="仿宋_GB2312"/>
          <w:color w:val="000000"/>
          <w:sz w:val="30"/>
          <w:szCs w:val="30"/>
          <w:highlight w:val="none"/>
          <w:u w:val="single"/>
        </w:rPr>
        <w:t xml:space="preserve">   </w:t>
      </w:r>
      <w:r>
        <w:rPr>
          <w:rFonts w:hint="eastAsia" w:ascii="仿宋_GB2312" w:hAnsi="仿宋_GB2312" w:eastAsia="仿宋_GB2312" w:cs="仿宋_GB2312"/>
          <w:color w:val="000000"/>
          <w:sz w:val="30"/>
          <w:szCs w:val="30"/>
          <w:highlight w:val="none"/>
          <w:u w:val="single"/>
        </w:rPr>
        <w:t xml:space="preserve">     </w:t>
      </w:r>
      <w:r>
        <w:rPr>
          <w:rFonts w:ascii="仿宋_GB2312" w:hAnsi="仿宋_GB2312" w:eastAsia="仿宋_GB2312" w:cs="仿宋_GB2312"/>
          <w:color w:val="000000"/>
          <w:sz w:val="30"/>
          <w:szCs w:val="30"/>
          <w:highlight w:val="none"/>
          <w:u w:val="single"/>
        </w:rPr>
        <w:t xml:space="preserve"> </w:t>
      </w:r>
      <w:r>
        <w:rPr>
          <w:rFonts w:hint="eastAsia" w:ascii="仿宋_GB2312" w:hAnsi="仿宋_GB2312" w:eastAsia="仿宋_GB2312" w:cs="仿宋_GB2312"/>
          <w:sz w:val="30"/>
          <w:szCs w:val="30"/>
          <w:highlight w:val="none"/>
        </w:rPr>
        <w:t>（小写：￥</w:t>
      </w:r>
      <w:r>
        <w:rPr>
          <w:rFonts w:hint="eastAsia" w:ascii="仿宋_GB2312" w:hAnsi="仿宋_GB2312" w:eastAsia="仿宋_GB2312" w:cs="仿宋_GB2312"/>
          <w:sz w:val="30"/>
          <w:szCs w:val="30"/>
          <w:highlight w:val="none"/>
          <w:u w:val="single"/>
        </w:rPr>
        <w:t xml:space="preserve"> </w:t>
      </w:r>
      <w:r>
        <w:rPr>
          <w:rFonts w:ascii="仿宋_GB2312" w:hAnsi="仿宋_GB2312" w:eastAsia="仿宋_GB2312" w:cs="仿宋_GB2312"/>
          <w:sz w:val="30"/>
          <w:szCs w:val="30"/>
          <w:highlight w:val="none"/>
          <w:u w:val="single"/>
        </w:rPr>
        <w:t xml:space="preserve">    </w:t>
      </w:r>
      <w:r>
        <w:rPr>
          <w:rFonts w:hint="eastAsia" w:ascii="仿宋_GB2312" w:hAnsi="仿宋_GB2312" w:eastAsia="仿宋_GB2312" w:cs="仿宋_GB2312"/>
          <w:sz w:val="30"/>
          <w:szCs w:val="30"/>
          <w:highlight w:val="none"/>
          <w:u w:val="single"/>
        </w:rPr>
        <w:t>）</w:t>
      </w:r>
      <w:r>
        <w:rPr>
          <w:rFonts w:hint="eastAsia" w:ascii="仿宋_GB2312" w:hAnsi="仿宋_GB2312" w:eastAsia="仿宋_GB2312" w:cs="仿宋_GB2312"/>
          <w:sz w:val="30"/>
          <w:szCs w:val="30"/>
          <w:highlight w:val="none"/>
        </w:rPr>
        <w:t>；不含税价格为人民币（大写）：</w:t>
      </w:r>
      <w:r>
        <w:rPr>
          <w:rFonts w:ascii="仿宋_GB2312" w:hAnsi="仿宋_GB2312" w:eastAsia="仿宋_GB2312" w:cs="仿宋_GB2312"/>
          <w:color w:val="000000"/>
          <w:sz w:val="30"/>
          <w:szCs w:val="30"/>
          <w:highlight w:val="none"/>
          <w:u w:val="single"/>
        </w:rPr>
        <w:t xml:space="preserve">  </w:t>
      </w:r>
      <w:r>
        <w:rPr>
          <w:rFonts w:hint="eastAsia" w:ascii="仿宋_GB2312" w:hAnsi="仿宋_GB2312" w:eastAsia="仿宋_GB2312" w:cs="仿宋_GB2312"/>
          <w:color w:val="000000"/>
          <w:sz w:val="30"/>
          <w:szCs w:val="30"/>
          <w:highlight w:val="none"/>
          <w:u w:val="single"/>
        </w:rPr>
        <w:t xml:space="preserve">   </w:t>
      </w:r>
      <w:r>
        <w:rPr>
          <w:rFonts w:ascii="仿宋_GB2312" w:hAnsi="仿宋_GB2312" w:eastAsia="仿宋_GB2312" w:cs="仿宋_GB2312"/>
          <w:color w:val="000000"/>
          <w:sz w:val="30"/>
          <w:szCs w:val="30"/>
          <w:highlight w:val="none"/>
          <w:u w:val="single"/>
        </w:rPr>
        <w:t xml:space="preserve">  </w:t>
      </w:r>
      <w:r>
        <w:rPr>
          <w:rFonts w:hint="eastAsia" w:ascii="仿宋_GB2312" w:hAnsi="仿宋_GB2312" w:eastAsia="仿宋_GB2312" w:cs="仿宋_GB2312"/>
          <w:sz w:val="30"/>
          <w:szCs w:val="30"/>
          <w:highlight w:val="none"/>
        </w:rPr>
        <w:t>（</w:t>
      </w:r>
      <w:r>
        <w:rPr>
          <w:rFonts w:cs="Times New Roman"/>
          <w:sz w:val="24"/>
          <w:highlight w:val="none"/>
        </w:rPr>
        <w:t>小</w:t>
      </w:r>
      <w:r>
        <w:rPr>
          <w:rFonts w:hint="eastAsia" w:ascii="仿宋_GB2312" w:hAnsi="仿宋_GB2312" w:eastAsia="仿宋_GB2312" w:cs="仿宋_GB2312"/>
          <w:sz w:val="30"/>
          <w:szCs w:val="30"/>
          <w:highlight w:val="none"/>
        </w:rPr>
        <w:t>写：￥</w:t>
      </w:r>
      <w:r>
        <w:rPr>
          <w:rFonts w:hint="eastAsia" w:ascii="仿宋_GB2312" w:hAnsi="仿宋_GB2312" w:eastAsia="仿宋_GB2312" w:cs="仿宋_GB2312"/>
          <w:sz w:val="30"/>
          <w:szCs w:val="30"/>
          <w:highlight w:val="none"/>
          <w:u w:val="single"/>
        </w:rPr>
        <w:t xml:space="preserve"> </w:t>
      </w:r>
      <w:r>
        <w:rPr>
          <w:rFonts w:ascii="仿宋_GB2312" w:hAnsi="仿宋_GB2312" w:eastAsia="仿宋_GB2312" w:cs="仿宋_GB2312"/>
          <w:sz w:val="30"/>
          <w:szCs w:val="30"/>
          <w:highlight w:val="none"/>
          <w:u w:val="single"/>
        </w:rPr>
        <w:t xml:space="preserve">  </w:t>
      </w:r>
      <w:r>
        <w:rPr>
          <w:rFonts w:hint="eastAsia" w:ascii="仿宋_GB2312" w:hAnsi="仿宋_GB2312" w:eastAsia="仿宋_GB2312" w:cs="仿宋_GB2312"/>
          <w:sz w:val="30"/>
          <w:szCs w:val="30"/>
          <w:highlight w:val="none"/>
          <w:u w:val="single"/>
        </w:rPr>
        <w:t xml:space="preserve">   </w:t>
      </w:r>
      <w:r>
        <w:rPr>
          <w:rFonts w:ascii="仿宋_GB2312" w:hAnsi="仿宋_GB2312" w:eastAsia="仿宋_GB2312" w:cs="仿宋_GB2312"/>
          <w:sz w:val="30"/>
          <w:szCs w:val="30"/>
          <w:highlight w:val="none"/>
          <w:u w:val="single"/>
        </w:rPr>
        <w:t xml:space="preserve">  </w:t>
      </w:r>
      <w:r>
        <w:rPr>
          <w:rFonts w:hint="eastAsia" w:ascii="仿宋_GB2312" w:hAnsi="仿宋_GB2312" w:eastAsia="仿宋_GB2312" w:cs="仿宋_GB2312"/>
          <w:sz w:val="30"/>
          <w:szCs w:val="30"/>
          <w:highlight w:val="none"/>
          <w:u w:val="single"/>
        </w:rPr>
        <w:t>）</w:t>
      </w:r>
      <w:r>
        <w:rPr>
          <w:rFonts w:hint="eastAsia" w:ascii="仿宋_GB2312" w:hAnsi="仿宋_GB2312" w:eastAsia="仿宋_GB2312" w:cs="仿宋_GB2312"/>
          <w:sz w:val="30"/>
          <w:szCs w:val="30"/>
          <w:highlight w:val="none"/>
        </w:rPr>
        <w:t>；增值税费为人民币（大写）：</w:t>
      </w:r>
      <w:r>
        <w:rPr>
          <w:rFonts w:ascii="仿宋_GB2312" w:hAnsi="仿宋_GB2312" w:eastAsia="仿宋_GB2312" w:cs="仿宋_GB2312"/>
          <w:color w:val="000000"/>
          <w:sz w:val="30"/>
          <w:szCs w:val="30"/>
          <w:highlight w:val="none"/>
          <w:u w:val="single"/>
        </w:rPr>
        <w:t xml:space="preserve">   </w:t>
      </w:r>
      <w:r>
        <w:rPr>
          <w:rFonts w:hint="eastAsia" w:ascii="仿宋_GB2312" w:hAnsi="仿宋_GB2312" w:eastAsia="仿宋_GB2312" w:cs="仿宋_GB2312"/>
          <w:color w:val="000000"/>
          <w:sz w:val="30"/>
          <w:szCs w:val="30"/>
          <w:highlight w:val="none"/>
          <w:u w:val="single"/>
        </w:rPr>
        <w:t xml:space="preserve">  </w:t>
      </w:r>
      <w:r>
        <w:rPr>
          <w:rFonts w:ascii="仿宋_GB2312" w:hAnsi="仿宋_GB2312" w:eastAsia="仿宋_GB2312" w:cs="仿宋_GB2312"/>
          <w:color w:val="000000"/>
          <w:sz w:val="30"/>
          <w:szCs w:val="30"/>
          <w:highlight w:val="none"/>
          <w:u w:val="single"/>
        </w:rPr>
        <w:t xml:space="preserve"> </w:t>
      </w:r>
      <w:r>
        <w:rPr>
          <w:rFonts w:hint="eastAsia" w:ascii="仿宋_GB2312" w:hAnsi="仿宋_GB2312" w:eastAsia="仿宋_GB2312" w:cs="仿宋_GB2312"/>
          <w:sz w:val="30"/>
          <w:szCs w:val="30"/>
          <w:highlight w:val="none"/>
        </w:rPr>
        <w:t>（小写：￥</w:t>
      </w:r>
      <w:r>
        <w:rPr>
          <w:rFonts w:hint="eastAsia" w:ascii="仿宋_GB2312" w:hAnsi="仿宋_GB2312" w:eastAsia="仿宋_GB2312" w:cs="仿宋_GB2312"/>
          <w:sz w:val="30"/>
          <w:szCs w:val="30"/>
          <w:highlight w:val="none"/>
          <w:u w:val="single"/>
        </w:rPr>
        <w:t xml:space="preserve"> </w:t>
      </w:r>
      <w:r>
        <w:rPr>
          <w:rFonts w:ascii="仿宋_GB2312" w:hAnsi="仿宋_GB2312" w:eastAsia="仿宋_GB2312" w:cs="仿宋_GB2312"/>
          <w:sz w:val="30"/>
          <w:szCs w:val="30"/>
          <w:highlight w:val="none"/>
          <w:u w:val="single"/>
        </w:rPr>
        <w:t xml:space="preserve">    </w:t>
      </w:r>
      <w:r>
        <w:rPr>
          <w:rFonts w:hint="eastAsia" w:ascii="仿宋_GB2312" w:hAnsi="仿宋_GB2312" w:eastAsia="仿宋_GB2312" w:cs="仿宋_GB2312"/>
          <w:sz w:val="30"/>
          <w:szCs w:val="30"/>
          <w:highlight w:val="none"/>
          <w:u w:val="single"/>
        </w:rPr>
        <w:t>）</w:t>
      </w:r>
      <w:r>
        <w:rPr>
          <w:rFonts w:hint="eastAsia" w:ascii="仿宋_GB2312" w:hAnsi="仿宋_GB2312" w:eastAsia="仿宋_GB2312" w:cs="仿宋_GB2312"/>
          <w:sz w:val="30"/>
          <w:szCs w:val="30"/>
          <w:highlight w:val="none"/>
        </w:rPr>
        <w:t>；税率6%</w:t>
      </w:r>
      <w:r>
        <w:rPr>
          <w:rFonts w:hint="eastAsia" w:ascii="仿宋_GB2312" w:hAnsi="仿宋_GB2312" w:eastAsia="仿宋_GB2312" w:cs="仿宋_GB2312"/>
          <w:sz w:val="30"/>
          <w:szCs w:val="30"/>
          <w:highlight w:val="none"/>
          <w:lang w:eastAsia="zh-Hans"/>
        </w:rPr>
        <w:t>，</w:t>
      </w:r>
      <w:r>
        <w:rPr>
          <w:rFonts w:hint="eastAsia" w:ascii="仿宋_GB2312" w:hAnsi="仿宋_GB2312" w:eastAsia="仿宋_GB2312" w:cs="仿宋_GB2312"/>
          <w:sz w:val="30"/>
          <w:szCs w:val="30"/>
          <w:highlight w:val="none"/>
          <w:lang w:val="en-US" w:eastAsia="zh-Hans"/>
        </w:rPr>
        <w:t>如税率有变化，合同总价不变</w:t>
      </w:r>
      <w:r>
        <w:rPr>
          <w:rFonts w:hint="eastAsia" w:ascii="仿宋_GB2312" w:hAnsi="仿宋_GB2312" w:eastAsia="仿宋_GB2312" w:cs="仿宋_GB2312"/>
          <w:sz w:val="30"/>
          <w:szCs w:val="30"/>
          <w:highlight w:val="none"/>
        </w:rPr>
        <w:t>。具体服务内容及费用组成明细如下：</w:t>
      </w:r>
    </w:p>
    <w:tbl>
      <w:tblPr>
        <w:tblStyle w:val="25"/>
        <w:tblW w:w="9870" w:type="dxa"/>
        <w:jc w:val="center"/>
        <w:tblLayout w:type="fixed"/>
        <w:tblCellMar>
          <w:top w:w="15" w:type="dxa"/>
          <w:left w:w="108" w:type="dxa"/>
          <w:bottom w:w="0" w:type="dxa"/>
          <w:right w:w="108" w:type="dxa"/>
        </w:tblCellMar>
      </w:tblPr>
      <w:tblGrid>
        <w:gridCol w:w="620"/>
        <w:gridCol w:w="2636"/>
        <w:gridCol w:w="2391"/>
        <w:gridCol w:w="1152"/>
        <w:gridCol w:w="1418"/>
        <w:gridCol w:w="1417"/>
        <w:gridCol w:w="236"/>
      </w:tblGrid>
      <w:tr>
        <w:tblPrEx>
          <w:tblCellMar>
            <w:top w:w="15" w:type="dxa"/>
            <w:left w:w="108" w:type="dxa"/>
            <w:bottom w:w="0" w:type="dxa"/>
            <w:right w:w="108" w:type="dxa"/>
          </w:tblCellMar>
        </w:tblPrEx>
        <w:trPr>
          <w:gridAfter w:val="1"/>
          <w:wAfter w:w="236" w:type="dxa"/>
          <w:trHeight w:val="280" w:hRule="atLeast"/>
          <w:jc w:val="center"/>
        </w:trPr>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序号</w:t>
            </w:r>
          </w:p>
        </w:tc>
        <w:tc>
          <w:tcPr>
            <w:tcW w:w="2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工作内容</w:t>
            </w:r>
          </w:p>
        </w:tc>
        <w:tc>
          <w:tcPr>
            <w:tcW w:w="23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工作成果</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计量单位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数量</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服务报价（元）</w:t>
            </w:r>
          </w:p>
        </w:tc>
      </w:tr>
      <w:tr>
        <w:tblPrEx>
          <w:tblCellMar>
            <w:top w:w="15" w:type="dxa"/>
            <w:left w:w="108" w:type="dxa"/>
            <w:bottom w:w="0" w:type="dxa"/>
            <w:right w:w="108" w:type="dxa"/>
          </w:tblCellMar>
        </w:tblPrEx>
        <w:trPr>
          <w:gridAfter w:val="1"/>
          <w:wAfter w:w="236" w:type="dxa"/>
          <w:trHeight w:val="196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1</w:t>
            </w:r>
          </w:p>
        </w:tc>
        <w:tc>
          <w:tcPr>
            <w:tcW w:w="263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Times New Roman" w:hAnsi="Times New Roman" w:cs="Times New Roman"/>
                <w:b w:val="0"/>
                <w:bCs w:val="0"/>
                <w:sz w:val="21"/>
                <w:szCs w:val="21"/>
                <w:highlight w:val="none"/>
              </w:rPr>
              <w:t>住宅小区智慧泵房研究及应用</w:t>
            </w:r>
          </w:p>
        </w:tc>
        <w:tc>
          <w:tcPr>
            <w:tcW w:w="2391"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highlight w:val="none"/>
                <w:lang w:eastAsia="zh-CN"/>
              </w:rPr>
            </w:pPr>
            <w:r>
              <w:rPr>
                <w:rFonts w:hint="eastAsia" w:ascii="等线" w:hAnsi="等线" w:eastAsia="等线" w:cs="宋体"/>
                <w:color w:val="000000"/>
                <w:kern w:val="0"/>
                <w:sz w:val="22"/>
                <w:szCs w:val="22"/>
                <w:highlight w:val="none"/>
              </w:rPr>
              <w:t>1）论文 1 篇，在带有刊号的正式期刊发表；</w:t>
            </w:r>
          </w:p>
          <w:p>
            <w:pPr>
              <w:widowControl/>
              <w:jc w:val="center"/>
              <w:rPr>
                <w:rFonts w:hint="eastAsia" w:ascii="等线" w:hAnsi="等线" w:eastAsia="等线" w:cs="宋体"/>
                <w:color w:val="000000"/>
                <w:kern w:val="0"/>
                <w:sz w:val="22"/>
                <w:szCs w:val="22"/>
                <w:highlight w:val="none"/>
                <w:lang w:eastAsia="zh-CN"/>
              </w:rPr>
            </w:pPr>
            <w:r>
              <w:rPr>
                <w:rFonts w:hint="eastAsia" w:ascii="等线" w:hAnsi="等线" w:eastAsia="等线" w:cs="宋体"/>
                <w:color w:val="000000"/>
                <w:kern w:val="0"/>
                <w:sz w:val="22"/>
                <w:szCs w:val="22"/>
                <w:highlight w:val="none"/>
              </w:rPr>
              <w:t>2）</w:t>
            </w:r>
            <w:r>
              <w:rPr>
                <w:rFonts w:hint="eastAsia" w:ascii="等线" w:hAnsi="等线" w:eastAsia="等线" w:cs="宋体"/>
                <w:color w:val="000000"/>
                <w:kern w:val="0"/>
                <w:sz w:val="22"/>
                <w:szCs w:val="22"/>
                <w:highlight w:val="none"/>
                <w:lang w:val="en-US" w:eastAsia="zh-CN"/>
              </w:rPr>
              <w:t>咨询服务</w:t>
            </w:r>
            <w:r>
              <w:rPr>
                <w:rFonts w:hint="eastAsia" w:ascii="等线" w:hAnsi="等线" w:eastAsia="等线" w:cs="宋体"/>
                <w:color w:val="000000"/>
                <w:kern w:val="0"/>
                <w:sz w:val="22"/>
                <w:szCs w:val="22"/>
                <w:highlight w:val="none"/>
              </w:rPr>
              <w:t>；</w:t>
            </w:r>
          </w:p>
          <w:p>
            <w:pPr>
              <w:pStyle w:val="2"/>
              <w:rPr>
                <w:rFonts w:hint="eastAsia"/>
                <w:lang w:eastAsia="zh-CN"/>
              </w:rPr>
            </w:pP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不含税总计（元）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税金（元）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含税总计（元）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312" w:hRule="atLeast"/>
          <w:jc w:val="center"/>
        </w:trPr>
        <w:tc>
          <w:tcPr>
            <w:tcW w:w="9634" w:type="dxa"/>
            <w:gridSpan w:val="6"/>
            <w:vMerge w:val="restart"/>
            <w:tcBorders>
              <w:top w:val="single" w:color="auto" w:sz="4" w:space="0"/>
              <w:left w:val="nil"/>
              <w:bottom w:val="nil"/>
              <w:right w:val="nil"/>
            </w:tcBorders>
            <w:shd w:val="clear" w:color="auto" w:fill="auto"/>
            <w:vAlign w:val="center"/>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备注：1、本报价采取固定总价报价，税率6%。合同签订后的固定总价将不以市场人工、物价上涨而变化。以上固定总价已包含但不限于合同约定的所有服务的费用及配合费用（包括但不限于劳务费、应缴纳的税费、为完成本科技项目工作所需的行政、通讯费用、工作人员的薪金、奖金、福利、交通、食宿、加班以及到现场人员差旅食宿费等所有费用）。</w:t>
            </w: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等线" w:hAnsi="等线" w:eastAsia="等线" w:cs="宋体"/>
                <w:color w:val="000000"/>
                <w:kern w:val="0"/>
                <w:sz w:val="22"/>
                <w:szCs w:val="22"/>
                <w:highlight w:val="none"/>
              </w:rPr>
            </w:pP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highlight w:val="none"/>
              </w:rPr>
            </w:pP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highlight w:val="none"/>
              </w:rPr>
            </w:pPr>
          </w:p>
        </w:tc>
      </w:tr>
    </w:tbl>
    <w:p>
      <w:pPr>
        <w:pStyle w:val="35"/>
        <w:numPr>
          <w:ilvl w:val="0"/>
          <w:numId w:val="0"/>
        </w:numPr>
        <w:spacing w:line="560" w:lineRule="exact"/>
        <w:ind w:leftChars="200"/>
        <w:rPr>
          <w:rFonts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lang w:val="en-US" w:eastAsia="zh-CN"/>
        </w:rPr>
        <w:t>五、</w:t>
      </w:r>
      <w:r>
        <w:rPr>
          <w:rFonts w:hint="eastAsia" w:ascii="仿宋_GB2312" w:hAnsi="仿宋_GB2312" w:eastAsia="仿宋_GB2312" w:cs="仿宋_GB2312"/>
          <w:b/>
          <w:sz w:val="30"/>
          <w:szCs w:val="30"/>
          <w:highlight w:val="none"/>
        </w:rPr>
        <w:t>科技创新课题研发服务标准和要求</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rPr>
        <w:t>乙方需在课题研发工作启动前二周内确定研发负责人，该负责人主要职责为：与甲方保持沟通、管理研发团队、统筹课题研发工作、主导完成课题研发成果等。</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乙方人员需运用合理技能及有关工具和方法完成课题研发范围内的各项工作；</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乙方确保课题研发的创新性、先进性、专业性。如出现研发成果抄袭、雷同及不满足行业标准规范等行为，甲方可随时解除合同，不予支付剩余所有合同款项并要求乙方承担甲方由此带来的一切损失；</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乙方应当教育派往甲方的工作人员，应当遵守甲方的办公场所管理制度，维持良好的工作秩序。</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eastAsia" w:ascii="仿宋_GB2312" w:hAnsi="仿宋_GB2312" w:eastAsia="仿宋_GB2312" w:cs="仿宋_GB2312"/>
          <w:b/>
          <w:kern w:val="2"/>
          <w:sz w:val="30"/>
          <w:szCs w:val="30"/>
          <w:lang w:val="en-US" w:eastAsia="zh-CN" w:bidi="ar-SA"/>
        </w:rPr>
        <w:t>六</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乙方科技创新课题研发服务工作内容及成果指标</w:t>
      </w:r>
    </w:p>
    <w:p>
      <w:pPr>
        <w:pStyle w:val="35"/>
        <w:tabs>
          <w:tab w:val="left" w:pos="0"/>
        </w:tabs>
        <w:spacing w:line="560" w:lineRule="exact"/>
        <w:ind w:firstLine="600" w:firstLineChars="200"/>
        <w:rPr>
          <w:rFonts w:hint="eastAsia" w:ascii="仿宋_GB2312" w:hAnsi="仿宋_GB2312" w:eastAsia="仿宋_GB2312" w:cs="仿宋_GB2312"/>
          <w:bCs/>
          <w:sz w:val="30"/>
          <w:szCs w:val="30"/>
          <w:highlight w:val="none"/>
          <w:lang w:eastAsia="zh-CN"/>
        </w:rPr>
      </w:pPr>
      <w:r>
        <w:rPr>
          <w:rFonts w:hint="eastAsia" w:ascii="仿宋_GB2312" w:hAnsi="仿宋_GB2312" w:eastAsia="仿宋_GB2312" w:cs="仿宋_GB2312"/>
          <w:bCs/>
          <w:sz w:val="30"/>
          <w:szCs w:val="30"/>
          <w:highlight w:val="none"/>
        </w:rPr>
        <w:t>随着智慧城市及智慧小区建设的推进，研究总结小区泵房智慧化泵房建设技术要点，形成安联公司住宅开发泵房建设技术类标准，指导住宅小区智慧泵房建设及管理，提高供水基础设施建设标准，保障供水系统从源头到龙头水质安全，提升泵房管理应用效率，满足深圳市社会主义先行示范区关于高质量供水的验收要求</w:t>
      </w:r>
      <w:r>
        <w:rPr>
          <w:rFonts w:hint="eastAsia" w:ascii="仿宋_GB2312" w:hAnsi="仿宋_GB2312" w:eastAsia="仿宋_GB2312" w:cs="仿宋_GB2312"/>
          <w:bCs/>
          <w:sz w:val="30"/>
          <w:szCs w:val="30"/>
          <w:highlight w:val="none"/>
          <w:lang w:eastAsia="zh-CN"/>
        </w:rPr>
        <w:t>。</w:t>
      </w:r>
    </w:p>
    <w:p>
      <w:pPr>
        <w:pStyle w:val="35"/>
        <w:tabs>
          <w:tab w:val="left" w:pos="0"/>
        </w:tabs>
        <w:spacing w:line="560" w:lineRule="exact"/>
        <w:ind w:firstLine="60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项目成果指标包括但不限于：</w:t>
      </w:r>
    </w:p>
    <w:p>
      <w:pPr>
        <w:pStyle w:val="35"/>
        <w:numPr>
          <w:ilvl w:val="0"/>
          <w:numId w:val="8"/>
        </w:numPr>
        <w:tabs>
          <w:tab w:val="left" w:pos="0"/>
        </w:tabs>
        <w:spacing w:line="560" w:lineRule="exact"/>
        <w:ind w:firstLine="600" w:firstLineChars="200"/>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主要成果</w:t>
      </w:r>
    </w:p>
    <w:p>
      <w:pPr>
        <w:pStyle w:val="3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论文1篇，</w:t>
      </w:r>
      <w:r>
        <w:rPr>
          <w:rFonts w:hint="eastAsia" w:ascii="仿宋_GB2312" w:hAnsi="仿宋_GB2312" w:eastAsia="仿宋_GB2312" w:cs="仿宋_GB2312"/>
          <w:bCs/>
          <w:sz w:val="30"/>
          <w:szCs w:val="30"/>
          <w:highlight w:val="none"/>
          <w:lang w:val="en-US" w:eastAsia="zh-CN"/>
        </w:rPr>
        <w:t>在</w:t>
      </w:r>
      <w:r>
        <w:rPr>
          <w:rFonts w:hint="eastAsia" w:ascii="仿宋_GB2312" w:hAnsi="仿宋_GB2312" w:eastAsia="仿宋_GB2312" w:cs="仿宋_GB2312"/>
          <w:bCs/>
          <w:sz w:val="30"/>
          <w:szCs w:val="30"/>
          <w:highlight w:val="none"/>
        </w:rPr>
        <w:t>带有刊号的正式期刊发表。其中由安联科研人员撰写并以第一作者发表在核心期刊上的论文不少于总数的一半。专著应由安联公司人员独著或排名居前。发表论文、出版专著等应注明由安联公司科技项目资助并标注项目编号</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lang w:val="en-US" w:eastAsia="zh-CN"/>
        </w:rPr>
        <w:t>提供咨询服务</w:t>
      </w:r>
      <w:r>
        <w:rPr>
          <w:rFonts w:hint="eastAsia" w:ascii="仿宋_GB2312" w:hAnsi="仿宋_GB2312" w:eastAsia="仿宋_GB2312" w:cs="仿宋_GB2312"/>
          <w:bCs/>
          <w:sz w:val="30"/>
          <w:szCs w:val="30"/>
          <w:highlight w:val="none"/>
        </w:rPr>
        <w:t>。</w:t>
      </w:r>
    </w:p>
    <w:p>
      <w:pPr>
        <w:spacing w:line="560" w:lineRule="exact"/>
        <w:ind w:firstLine="600" w:firstLineChars="200"/>
        <w:rPr>
          <w:rFonts w:ascii="楷体_GB2312" w:hAnsi="楷体_GB2312" w:eastAsia="楷体_GB2312" w:cs="楷体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sz w:val="30"/>
          <w:szCs w:val="30"/>
          <w:highlight w:val="none"/>
        </w:rPr>
        <w:t>（二）</w:t>
      </w:r>
      <w:r>
        <w:rPr>
          <w:rFonts w:hint="eastAsia" w:ascii="仿宋_GB2312" w:hAnsi="仿宋_GB2312" w:eastAsia="仿宋_GB2312" w:cs="仿宋_GB2312"/>
          <w:bCs/>
          <w:kern w:val="2"/>
          <w:sz w:val="30"/>
          <w:szCs w:val="30"/>
          <w:highlight w:val="none"/>
          <w:lang w:val="en-US" w:eastAsia="zh-CN" w:bidi="ar-SA"/>
        </w:rPr>
        <w:t>主要研究内容</w:t>
      </w:r>
    </w:p>
    <w:p>
      <w:pPr>
        <w:spacing w:line="560" w:lineRule="exact"/>
        <w:ind w:firstLine="60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总结研究小区水泵房智慧化应用建设。主要通过研究泵房安防监控系统、水质水压监测、远端遥控、自动控制、数据采集与分析的构造等方面研究智慧泵房建设。具体如下：</w:t>
      </w:r>
    </w:p>
    <w:p>
      <w:pPr>
        <w:pStyle w:val="43"/>
        <w:spacing w:line="560" w:lineRule="exact"/>
        <w:ind w:firstLine="64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1</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视频安防监控系统：通过低照度、可远控球机摄像头对特定场景（人孔）进行布防，非授权人员进入泵房时，触发入侵警报。通过独立可视脸部识别与指纹门禁系统，对人员到访进行实时抓拍并上传至管理平台，进行身份核实与识别。</w:t>
      </w:r>
    </w:p>
    <w:p>
      <w:pPr>
        <w:pStyle w:val="43"/>
        <w:spacing w:line="560" w:lineRule="exact"/>
        <w:ind w:firstLine="64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2</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数据采集与控制系统：主要包括实时感知功能、信息存储功能、与视频联动功能、声光、短信息等方式进行报警功能、传送报警视频和图片功能。可自动采集水质、环境、设备和其他供水信息（进出水压、进出流量等），能实现水压自动控制、水泵机组自动切换、集水坑自动排水、泵房水淹自动断电保护、压力和液位传感器故障自动识别等功能，并且可通过远程控制。</w:t>
      </w:r>
    </w:p>
    <w:p>
      <w:pPr>
        <w:pStyle w:val="35"/>
        <w:tabs>
          <w:tab w:val="left" w:pos="0"/>
        </w:tabs>
        <w:spacing w:line="560" w:lineRule="exact"/>
        <w:ind w:firstLine="60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3</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运行维护管理系统：主要包括对供水设施日常巡检、维护保养、设备维修、水池清洗等运行维护数据进行及时、准确、完整地记录。通过运行维护管理系统对供水设施进行全生命周期的信息化管理，根据水泵、变频器等设备运行时间、运行状态、故障信息等数据，实现设备检修保养等操作信息的自动提醒功能，能自动生成设备维护、保养及维修工单。并定期对各类生产数据进行统计分析。并根据数据分析成果优化二次加压设施的管控模式。</w:t>
      </w:r>
    </w:p>
    <w:p>
      <w:pPr>
        <w:pStyle w:val="35"/>
        <w:tabs>
          <w:tab w:val="left" w:pos="0"/>
        </w:tabs>
        <w:spacing w:line="560" w:lineRule="exact"/>
        <w:ind w:firstLine="600" w:firstLineChars="20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(三）社会效益</w:t>
      </w:r>
    </w:p>
    <w:p>
      <w:pPr>
        <w:pStyle w:val="35"/>
        <w:tabs>
          <w:tab w:val="left" w:pos="0"/>
        </w:tabs>
        <w:spacing w:line="560" w:lineRule="exact"/>
        <w:ind w:firstLine="600" w:firstLineChars="200"/>
        <w:rPr>
          <w:rFonts w:hint="eastAsia" w:ascii="仿宋_GB2312" w:hAnsi="仿宋_GB2312" w:eastAsia="仿宋_GB2312" w:cs="仿宋_GB2312"/>
          <w:bCs/>
          <w:sz w:val="30"/>
          <w:szCs w:val="30"/>
          <w:highlight w:val="none"/>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推动小区水泵房智慧化升级，推动小区智慧化应用及建设；通过智慧化运行管理，减少人员投入成本。改善城市环境，促进经济发展。改善城市建设环境，提升住宅小区信息化水平，促进城市转型需要，发展需求，并能促进节能减排，提高运维效率</w:t>
      </w:r>
      <w:r>
        <w:rPr>
          <w:rFonts w:hint="eastAsia" w:ascii="仿宋_GB2312" w:hAnsi="仿宋_GB2312" w:eastAsia="仿宋_GB2312" w:cs="仿宋_GB2312"/>
          <w:bCs/>
          <w:sz w:val="30"/>
          <w:szCs w:val="30"/>
          <w:highlight w:val="none"/>
        </w:rPr>
        <w:t>。</w:t>
      </w:r>
    </w:p>
    <w:p>
      <w:pPr>
        <w:pStyle w:val="2"/>
        <w:widowControl/>
        <w:spacing w:line="560" w:lineRule="exact"/>
        <w:ind w:firstLine="600" w:firstLineChars="200"/>
        <w:rPr>
          <w:rFonts w:hint="eastAsia" w:ascii="仿宋_GB2312" w:hAnsi="仿宋_GB2312" w:eastAsia="仿宋_GB2312" w:cs="仿宋_GB2312"/>
          <w:bCs/>
          <w:kern w:val="2"/>
          <w:sz w:val="30"/>
          <w:szCs w:val="30"/>
          <w:highlight w:val="none"/>
          <w:lang w:val="en-US" w:eastAsia="zh-CN" w:bidi="ar-SA"/>
        </w:rPr>
      </w:pPr>
      <w:r>
        <w:rPr>
          <w:rFonts w:hint="eastAsia" w:ascii="仿宋_GB2312" w:hAnsi="仿宋_GB2312" w:eastAsia="仿宋_GB2312" w:cs="仿宋_GB2312"/>
          <w:bCs/>
          <w:kern w:val="2"/>
          <w:sz w:val="30"/>
          <w:szCs w:val="30"/>
          <w:highlight w:val="none"/>
          <w:lang w:val="en-US" w:eastAsia="zh-CN" w:bidi="ar-SA"/>
        </w:rPr>
        <w:t>（四）成果转化及推广应用</w:t>
      </w:r>
    </w:p>
    <w:p>
      <w:pPr>
        <w:pStyle w:val="35"/>
        <w:tabs>
          <w:tab w:val="left" w:pos="0"/>
        </w:tabs>
        <w:spacing w:line="560" w:lineRule="exact"/>
        <w:ind w:firstLine="600" w:firstLineChars="200"/>
        <w:rPr>
          <w:rFonts w:hint="eastAsia" w:ascii="仿宋_GB2312" w:hAnsi="仿宋_GB2312" w:eastAsia="仿宋_GB2312" w:cs="仿宋_GB2312"/>
          <w:bCs/>
          <w:sz w:val="30"/>
          <w:szCs w:val="30"/>
          <w:highlight w:val="none"/>
          <w:lang w:eastAsia="zh-CN"/>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 xml:space="preserve"> 满足住宅小区水泵房安防、运行、监测等运行要求，为安联后续住宅小区水泵房智慧化建设提供技术引导和参考</w:t>
      </w:r>
      <w:r>
        <w:rPr>
          <w:rFonts w:hint="eastAsia" w:ascii="仿宋_GB2312" w:hAnsi="仿宋_GB2312" w:eastAsia="仿宋_GB2312" w:cs="仿宋_GB2312"/>
          <w:color w:val="000000" w:themeColor="text1"/>
          <w:sz w:val="30"/>
          <w:szCs w:val="30"/>
          <w:highlight w:val="none"/>
          <w:lang w:eastAsia="zh-CN"/>
          <w14:textFill>
            <w14:solidFill>
              <w14:schemeClr w14:val="tx1"/>
            </w14:solidFill>
          </w14:textFill>
        </w:rPr>
        <w:t>。</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eastAsia" w:ascii="仿宋_GB2312" w:hAnsi="仿宋_GB2312" w:eastAsia="仿宋_GB2312" w:cs="仿宋_GB2312"/>
          <w:b/>
          <w:kern w:val="2"/>
          <w:sz w:val="30"/>
          <w:szCs w:val="30"/>
          <w:lang w:val="en-US" w:eastAsia="zh-CN" w:bidi="ar-SA"/>
        </w:rPr>
        <w:t>七</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 xml:space="preserve">付款及签约方式： </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bookmarkStart w:id="161" w:name="本合同项下的价格已包含为达到甲方要求效果，所需的一切费用，包括但不限于：乙方应承"/>
      <w:bookmarkEnd w:id="161"/>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rPr>
        <w:t>付款方式：</w:t>
      </w:r>
    </w:p>
    <w:p>
      <w:pPr>
        <w:pStyle w:val="35"/>
        <w:tabs>
          <w:tab w:val="left" w:pos="420"/>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本项目课题研发服务费进度款按以下方式支付：</w:t>
      </w:r>
    </w:p>
    <w:p>
      <w:pPr>
        <w:pStyle w:val="35"/>
        <w:tabs>
          <w:tab w:val="left" w:pos="420"/>
        </w:tabs>
        <w:spacing w:line="560" w:lineRule="exact"/>
        <w:ind w:firstLine="600" w:firstLineChars="20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rPr>
        <w:t>（1）合同签订后</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甲方向乙方支付</w:t>
      </w:r>
      <w:r>
        <w:rPr>
          <w:rFonts w:hint="eastAsia" w:ascii="仿宋_GB2312" w:hAnsi="仿宋_GB2312" w:eastAsia="仿宋_GB2312" w:cs="仿宋_GB2312"/>
          <w:sz w:val="30"/>
          <w:szCs w:val="30"/>
          <w:highlight w:val="none"/>
        </w:rPr>
        <w:t>合同总额的</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0%</w:t>
      </w:r>
      <w:r>
        <w:rPr>
          <w:rFonts w:hint="eastAsia" w:ascii="仿宋_GB2312" w:hAnsi="仿宋_GB2312" w:eastAsia="仿宋_GB2312" w:cs="仿宋_GB2312"/>
          <w:sz w:val="30"/>
          <w:szCs w:val="30"/>
          <w:highlight w:val="none"/>
          <w:lang w:eastAsia="zh-CN"/>
        </w:rPr>
        <w:t>；</w:t>
      </w:r>
    </w:p>
    <w:p>
      <w:pPr>
        <w:pStyle w:val="35"/>
        <w:tabs>
          <w:tab w:val="left" w:pos="420"/>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）完成科技创新课题</w:t>
      </w:r>
      <w:r>
        <w:rPr>
          <w:rFonts w:hint="eastAsia" w:ascii="仿宋_GB2312" w:hAnsi="仿宋_GB2312" w:eastAsia="仿宋_GB2312" w:cs="仿宋_GB2312"/>
          <w:sz w:val="30"/>
          <w:szCs w:val="30"/>
          <w:highlight w:val="none"/>
          <w:lang w:val="en-US" w:eastAsia="zh-CN"/>
        </w:rPr>
        <w:t>研发论文定稿</w:t>
      </w:r>
      <w:r>
        <w:rPr>
          <w:rFonts w:hint="eastAsia" w:ascii="仿宋_GB2312" w:hAnsi="仿宋_GB2312" w:eastAsia="仿宋_GB2312" w:cs="仿宋_GB2312"/>
          <w:sz w:val="30"/>
          <w:szCs w:val="30"/>
          <w:highlight w:val="none"/>
        </w:rPr>
        <w:t>，且经过甲方书面确认后，甲方向乙方支付合同总额的</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0%；</w:t>
      </w:r>
    </w:p>
    <w:p>
      <w:pPr>
        <w:pStyle w:val="35"/>
        <w:tabs>
          <w:tab w:val="left" w:pos="420"/>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）课题研发论文见刊后，甲方</w:t>
      </w:r>
      <w:r>
        <w:rPr>
          <w:rFonts w:hint="eastAsia" w:ascii="仿宋_GB2312" w:hAnsi="仿宋_GB2312" w:eastAsia="仿宋_GB2312" w:cs="仿宋_GB2312"/>
          <w:sz w:val="30"/>
          <w:szCs w:val="30"/>
          <w:highlight w:val="none"/>
          <w:lang w:val="en-US" w:eastAsia="zh-CN"/>
        </w:rPr>
        <w:t>向乙方</w:t>
      </w:r>
      <w:r>
        <w:rPr>
          <w:rFonts w:hint="eastAsia" w:ascii="仿宋_GB2312" w:hAnsi="仿宋_GB2312" w:eastAsia="仿宋_GB2312" w:cs="仿宋_GB2312"/>
          <w:sz w:val="30"/>
          <w:szCs w:val="30"/>
          <w:highlight w:val="none"/>
        </w:rPr>
        <w:t>支付本合同剩余尾款。</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支付条件</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乙方需在甲方付款前向甲方提供完整的相关结算资料</w:t>
      </w:r>
      <w:r>
        <w:rPr>
          <w:rFonts w:hint="eastAsia" w:ascii="仿宋_GB2312" w:hAnsi="仿宋_GB2312" w:eastAsia="仿宋_GB2312" w:cs="仿宋_GB2312"/>
          <w:sz w:val="30"/>
          <w:szCs w:val="30"/>
          <w:highlight w:val="none"/>
          <w:lang w:val="en-US" w:eastAsia="zh-Hans"/>
        </w:rPr>
        <w:t>及证明材料</w:t>
      </w:r>
      <w:r>
        <w:rPr>
          <w:rFonts w:hint="eastAsia" w:ascii="仿宋_GB2312" w:hAnsi="仿宋_GB2312" w:eastAsia="仿宋_GB2312" w:cs="仿宋_GB2312"/>
          <w:sz w:val="30"/>
          <w:szCs w:val="30"/>
          <w:highlight w:val="none"/>
          <w:lang w:eastAsia="zh-Hans"/>
        </w:rPr>
        <w:t>（</w:t>
      </w:r>
      <w:r>
        <w:rPr>
          <w:rFonts w:hint="eastAsia" w:ascii="仿宋_GB2312" w:hAnsi="仿宋_GB2312" w:eastAsia="仿宋_GB2312" w:cs="仿宋_GB2312"/>
          <w:sz w:val="30"/>
          <w:szCs w:val="30"/>
          <w:highlight w:val="none"/>
          <w:lang w:val="en-US" w:eastAsia="zh-Hans"/>
        </w:rPr>
        <w:t>包括但不限于经甲方签署的验收确认文件、论文刊登的刊物等）</w:t>
      </w:r>
      <w:r>
        <w:rPr>
          <w:rFonts w:hint="eastAsia" w:ascii="仿宋_GB2312" w:hAnsi="仿宋_GB2312" w:eastAsia="仿宋_GB2312" w:cs="仿宋_GB2312"/>
          <w:sz w:val="30"/>
          <w:szCs w:val="30"/>
          <w:highlight w:val="none"/>
        </w:rPr>
        <w:t>。</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 xml:space="preserve">支付结算款的方式为：转账。 </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关于发票等相关事宜的约定</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①</w:t>
      </w:r>
      <w:r>
        <w:rPr>
          <w:rFonts w:hint="eastAsia" w:ascii="仿宋_GB2312" w:hAnsi="仿宋_GB2312" w:eastAsia="仿宋_GB2312" w:cs="仿宋_GB2312"/>
          <w:sz w:val="30"/>
          <w:szCs w:val="30"/>
          <w:highlight w:val="none"/>
        </w:rPr>
        <w:t>甲方每次付款前，乙方应当先行按照该批次计价金额和甲方的要求开具合法、有效、完整准确的增值税【专用】发票；在甲方支付至结算总价之前，乙方开具的该次发票金额等于结算总价减累计已开票金额。</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②</w:t>
      </w:r>
      <w:r>
        <w:rPr>
          <w:rFonts w:hint="eastAsia" w:ascii="仿宋_GB2312" w:hAnsi="仿宋_GB2312" w:eastAsia="仿宋_GB2312" w:cs="仿宋_GB2312"/>
          <w:sz w:val="30"/>
          <w:szCs w:val="30"/>
          <w:highlight w:val="none"/>
        </w:rPr>
        <w:t>乙方必须保证合同签订方、提供服务方、收款方、发票开具方一致，并且该项合同约定的服务范围在乙方营业范围内，发票开具项目内容要与实际发生业务相一致。甲方收到乙方的增值税【专用】发票后，经审核无误才向乙方支付合同价款，乙方不能及时开具的，甲方可暂不支付结算款项，直至乙方按要求出具合格发票，甲方不承担因此导致的迟延付款的任何责任。</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③</w:t>
      </w:r>
      <w:r>
        <w:rPr>
          <w:rFonts w:hint="eastAsia" w:ascii="仿宋_GB2312" w:hAnsi="仿宋_GB2312" w:eastAsia="仿宋_GB2312" w:cs="仿宋_GB2312"/>
          <w:sz w:val="30"/>
          <w:szCs w:val="30"/>
          <w:highlight w:val="none"/>
        </w:rPr>
        <w:t>若乙方提供虚假发票、套打发票，除重新开具发票外，还应当承担相应的法律责任。若因乙方提供的发票不符合国家法律规定而导致税务机关不予认可的，由此所产生的税费、罚款、滞纳金以及因此给甲方造成的一切损失（包括但不限于损害赔偿、消除影响等）均由乙方承担。</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④</w:t>
      </w:r>
      <w:r>
        <w:rPr>
          <w:rFonts w:hint="eastAsia" w:ascii="仿宋_GB2312" w:hAnsi="仿宋_GB2312" w:eastAsia="仿宋_GB2312" w:cs="仿宋_GB2312"/>
          <w:sz w:val="30"/>
          <w:szCs w:val="30"/>
          <w:highlight w:val="none"/>
        </w:rPr>
        <w:t>乙方违反国家法律、法规、规章、政策等规定或者未按照本合同约定开具、提供增值税发票的，乙方除了自行承担相应法律责任外，还应按甲方要求采取重新开具增值税发票等补救措施，同时甲方有权要求乙方支付本合同下各分项合同总价款5%的违约金；如果乙方无法开具符合甲方要求的增值税专用发票的，甲方将按“合同不含税价格+乙方实际提供增值税可抵扣凭证的增值税税额”进行结算，乙方应当向甲方支付本合同下各分项合同总价款</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0％的违约金，同时甲方有权终止本合同下各分项合同。</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⑤</w:t>
      </w:r>
      <w:r>
        <w:rPr>
          <w:rFonts w:hint="eastAsia" w:ascii="仿宋_GB2312" w:hAnsi="仿宋_GB2312" w:eastAsia="仿宋_GB2312" w:cs="仿宋_GB2312"/>
          <w:sz w:val="30"/>
          <w:szCs w:val="30"/>
          <w:highlight w:val="none"/>
        </w:rPr>
        <w:t>乙方提供的增值税发票没有通过税务部门认证或者开具的增值税发票丢失，乙方应按甲方要求采取重新开具增值税发票等补救措施，如造成甲方不能抵扣的，甲方收到乙方提供的合法合规发票后，按“合同不含税价格”进行结算。</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⑥</w:t>
      </w:r>
      <w:r>
        <w:rPr>
          <w:rFonts w:hint="eastAsia" w:ascii="仿宋_GB2312" w:hAnsi="仿宋_GB2312" w:eastAsia="仿宋_GB2312" w:cs="仿宋_GB2312"/>
          <w:sz w:val="30"/>
          <w:szCs w:val="30"/>
          <w:highlight w:val="none"/>
        </w:rPr>
        <w:t>若乙方税务信息发生变化，乙方应以书面盖章文件告知甲方，否则应承担因此给甲方造成的全部损失。</w:t>
      </w:r>
    </w:p>
    <w:p>
      <w:pPr>
        <w:pStyle w:val="35"/>
        <w:numPr>
          <w:ilvl w:val="0"/>
          <w:numId w:val="9"/>
        </w:numPr>
        <w:spacing w:line="560" w:lineRule="exact"/>
        <w:ind w:left="0"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在支付款项之前，乙方还应提供甲方要求的所有付款资料，否则因此而导致的延迟付款不构成甲方违约。</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eastAsia" w:ascii="仿宋_GB2312" w:hAnsi="仿宋_GB2312" w:eastAsia="仿宋_GB2312" w:cs="仿宋_GB2312"/>
          <w:b/>
          <w:kern w:val="2"/>
          <w:sz w:val="30"/>
          <w:szCs w:val="30"/>
          <w:lang w:val="en-US" w:eastAsia="zh-CN" w:bidi="ar-SA"/>
        </w:rPr>
        <w:t>八</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双方权利义务</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1、甲方的权利义务</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（1）有权监督、督促乙方完成本合同约定委托事项，并对委托事项进行验收；</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（2）有权对乙方完成本合同约定委托事项进行调整，提出改进建议并审核；</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3）有权考核和评估乙方科技创新课题研发服务组人员的专业能力和服务水平，有权根据评估情况，以书面通知形式要求乙方调整科技创新课题研发服务组人员构成。如乙方科技创新课题研发服务组组人员存在明显不胜任之情形，甲方有权要求乙方更换相关科技创新课题研发服务组组人员，乙方应当给予积极配合，在接到甲方书面通知之日起2个日历天内更换； </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（4）协助提供项目现场科技创新课题研发服务组所需相关资料；  </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（5）按合同约定支付相关款项。 </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2、乙方的权利义务</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（1）乙方承诺并保证具备履行本合同委托事项的各项法定资格、资质、并提供相关证明文件；</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（2）乙方不得将本合同约定委托事项全部或者部分转委托给第三方；</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（3）乙方应遵守相关法律法规和要求，熟练掌握相关科技创新课题研发服务要求的方法及相关规定；</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乙方应当确保本合同约定科技创新课题研发服务组的专业性和稳定性，不可随意更换科技创新课题研发服务组人员，如乙方科技创新课题研发服务组团队人员确需更换，乙方应提前一个月书面通知甲方，未经甲方书面认可，乙方不得随意更换；</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（5）乙方应当负责其委派的科技创新课题研发服务人员在本合同履行期限内的食宿问题、保险购买以及人身、财产责任安全，并对因其科技创新课题研发服务人员的操作而造成的其他人身、财产责任安全负责； </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（6）乙方应按照本合同约定以及甲方要求及时进行沟通，按时向甲方提交符合要求的服务报告，并积极配合甲方提出的工作改进建议；</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（7）乙方应按照甲方要求完成专题报告、参加甲方组织的科技创新课题研发服务相关工作研讨及交流会议，达到共同推进甲方工程品质提升的目标；</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eastAsia" w:ascii="仿宋_GB2312" w:hAnsi="仿宋_GB2312" w:eastAsia="仿宋_GB2312" w:cs="仿宋_GB2312"/>
          <w:b/>
          <w:kern w:val="2"/>
          <w:sz w:val="30"/>
          <w:szCs w:val="30"/>
          <w:lang w:val="en-US" w:eastAsia="zh-CN" w:bidi="ar-SA"/>
        </w:rPr>
        <w:t>九</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知识产权：</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乙方履行本合同不得损害甲方及第三方依法享有的知识产权，乙方为履行本合同而完成的一切工作成果（含过程资料）之权利归甲方所有。未经甲方书面同意，不得向第三方提供本合同涉及之一切资料，否则甲方将追索由此而引起的直接或间接经济损失，并保留进一步追究乙方相应法律责任的权利。</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eastAsia" w:ascii="仿宋_GB2312" w:hAnsi="仿宋_GB2312" w:eastAsia="仿宋_GB2312" w:cs="仿宋_GB2312"/>
          <w:b/>
          <w:kern w:val="2"/>
          <w:sz w:val="30"/>
          <w:szCs w:val="30"/>
          <w:lang w:val="en-US" w:eastAsia="zh-CN" w:bidi="ar-SA"/>
        </w:rPr>
        <w:t>十</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保密条款：</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乙方应对甲方委托服务内容以及一切相关资料、数据进行保密，妥善保管为履行委托服务内容而完成的一切工作成果，未经甲方书面同意，乙方不得用作本合同以外的用途或向第三方泄露，乙方应对合作过程中知悉的甲方的商业秘密进行保密，不得向第三方泄露。否则，甲方有权向乙方追索由此而引起的直接或间接的经济损失，并保留进一步追究乙方相应法律责任的权利。</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eastAsia" w:ascii="仿宋_GB2312" w:hAnsi="仿宋_GB2312" w:eastAsia="仿宋_GB2312" w:cs="仿宋_GB2312"/>
          <w:b/>
          <w:kern w:val="2"/>
          <w:sz w:val="30"/>
          <w:szCs w:val="30"/>
          <w:lang w:val="en-US" w:eastAsia="zh-CN" w:bidi="ar-SA"/>
        </w:rPr>
        <w:t>十一</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不可抗力</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合同履行期间，若出现甲乙双方无法预见或控制原因等不可抗力因素，导致本合同终止履行或者无法继续履行，发生不可抗力一方应在不可抗力发生之日起3个日历天内通知另一方，双方应友好协商解决，并按照实际完成工作情况据实结算费用。</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default" w:ascii="仿宋_GB2312" w:hAnsi="仿宋_GB2312" w:eastAsia="仿宋_GB2312" w:cs="仿宋_GB2312"/>
          <w:b/>
          <w:kern w:val="2"/>
          <w:sz w:val="30"/>
          <w:szCs w:val="30"/>
          <w:lang w:val="en-US" w:eastAsia="zh-CN" w:bidi="ar-SA"/>
        </w:rPr>
        <w:t>十</w:t>
      </w:r>
      <w:r>
        <w:rPr>
          <w:rFonts w:hint="eastAsia" w:ascii="仿宋_GB2312" w:hAnsi="仿宋_GB2312" w:eastAsia="仿宋_GB2312" w:cs="仿宋_GB2312"/>
          <w:b/>
          <w:kern w:val="2"/>
          <w:sz w:val="30"/>
          <w:szCs w:val="30"/>
          <w:lang w:val="en-US" w:eastAsia="zh-CN" w:bidi="ar-SA"/>
        </w:rPr>
        <w:t>二</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违约责任及争议解决</w:t>
      </w:r>
    </w:p>
    <w:p>
      <w:pPr>
        <w:pStyle w:val="3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rPr>
        <w:t>违约</w:t>
      </w:r>
    </w:p>
    <w:p>
      <w:pPr>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乙方未能按照合同约定时间或者甲方提前通知时间按时启动或迟延完成委托事项的，或提交不符合要求的工作成果时，乙方应当采取补救措施完成科技创新课题研发服务工作，或乙方未按甲方要求完成合同义务的，甲方有权要求乙方整改；若乙方逾期未能完成的，则每逾期一天，甲方有权每天按合同总价的千分之五要求乙方支付违约金；如造成不良影响或者</w:t>
      </w:r>
      <w:r>
        <w:rPr>
          <w:rFonts w:hint="eastAsia" w:ascii="仿宋_GB2312" w:hAnsi="仿宋_GB2312" w:eastAsia="仿宋_GB2312" w:cs="仿宋_GB2312"/>
          <w:sz w:val="30"/>
          <w:szCs w:val="30"/>
          <w:highlight w:val="none"/>
          <w:lang w:val="en-US" w:eastAsia="zh-Hans"/>
        </w:rPr>
        <w:t>对甲方造成</w:t>
      </w:r>
      <w:r>
        <w:rPr>
          <w:rFonts w:hint="eastAsia" w:ascii="仿宋_GB2312" w:hAnsi="仿宋_GB2312" w:eastAsia="仿宋_GB2312" w:cs="仿宋_GB2312"/>
          <w:sz w:val="30"/>
          <w:szCs w:val="30"/>
          <w:highlight w:val="none"/>
        </w:rPr>
        <w:t>损失的，乙方</w:t>
      </w:r>
      <w:r>
        <w:rPr>
          <w:rFonts w:hint="eastAsia" w:ascii="仿宋_GB2312" w:hAnsi="仿宋_GB2312" w:eastAsia="仿宋_GB2312" w:cs="仿宋_GB2312"/>
          <w:sz w:val="30"/>
          <w:szCs w:val="30"/>
          <w:highlight w:val="none"/>
          <w:lang w:val="en-US" w:eastAsia="zh-Hans"/>
        </w:rPr>
        <w:t>还</w:t>
      </w:r>
      <w:r>
        <w:rPr>
          <w:rFonts w:hint="eastAsia" w:ascii="仿宋_GB2312" w:hAnsi="仿宋_GB2312" w:eastAsia="仿宋_GB2312" w:cs="仿宋_GB2312"/>
          <w:sz w:val="30"/>
          <w:szCs w:val="30"/>
          <w:highlight w:val="none"/>
        </w:rPr>
        <w:t>承担相应的赔偿责任。</w:t>
      </w:r>
    </w:p>
    <w:p>
      <w:pPr>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r>
        <w:rPr>
          <w:rFonts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rPr>
        <w:t>）当下列任一事项发生时，甲方有权单方解除合同，</w:t>
      </w:r>
      <w:r>
        <w:rPr>
          <w:rFonts w:hint="eastAsia" w:ascii="仿宋_GB2312" w:hAnsi="仿宋_GB2312" w:eastAsia="仿宋_GB2312" w:cs="仿宋_GB2312"/>
          <w:sz w:val="30"/>
          <w:szCs w:val="30"/>
          <w:highlight w:val="none"/>
          <w:lang w:val="en-US" w:eastAsia="zh-CN"/>
        </w:rPr>
        <w:t>乙方应退还甲方已支付款项外，同时</w:t>
      </w:r>
      <w:r>
        <w:rPr>
          <w:rFonts w:hint="eastAsia" w:ascii="仿宋_GB2312" w:hAnsi="仿宋_GB2312" w:eastAsia="仿宋_GB2312" w:cs="仿宋_GB2312"/>
          <w:sz w:val="30"/>
          <w:szCs w:val="30"/>
          <w:highlight w:val="none"/>
        </w:rPr>
        <w:t>乙方还</w:t>
      </w:r>
      <w:r>
        <w:rPr>
          <w:rFonts w:hint="eastAsia" w:ascii="仿宋_GB2312" w:hAnsi="仿宋_GB2312" w:eastAsia="仿宋_GB2312" w:cs="仿宋_GB2312"/>
          <w:sz w:val="30"/>
          <w:szCs w:val="30"/>
          <w:highlight w:val="none"/>
          <w:lang w:val="en-US" w:eastAsia="zh-CN"/>
        </w:rPr>
        <w:t>需</w:t>
      </w:r>
      <w:r>
        <w:rPr>
          <w:rFonts w:hint="eastAsia" w:ascii="仿宋_GB2312" w:hAnsi="仿宋_GB2312" w:eastAsia="仿宋_GB2312" w:cs="仿宋_GB2312"/>
          <w:sz w:val="30"/>
          <w:szCs w:val="30"/>
          <w:highlight w:val="none"/>
        </w:rPr>
        <w:t>按合同总价的百分之三十支付违约金且不予调低</w:t>
      </w:r>
      <w:r>
        <w:rPr>
          <w:rFonts w:hint="eastAsia" w:ascii="仿宋_GB2312" w:hAnsi="仿宋_GB2312" w:eastAsia="仿宋_GB2312" w:cs="仿宋_GB2312"/>
          <w:sz w:val="30"/>
          <w:szCs w:val="30"/>
          <w:highlight w:val="none"/>
          <w:lang w:eastAsia="zh-Hans"/>
        </w:rPr>
        <w:t>，</w:t>
      </w:r>
      <w:r>
        <w:rPr>
          <w:rFonts w:hint="eastAsia" w:ascii="仿宋_GB2312" w:hAnsi="仿宋_GB2312" w:eastAsia="仿宋_GB2312" w:cs="仿宋_GB2312"/>
          <w:sz w:val="30"/>
          <w:szCs w:val="30"/>
          <w:highlight w:val="none"/>
          <w:lang w:val="en-US" w:eastAsia="zh-Hans"/>
        </w:rPr>
        <w:t>违约金不足以弥补甲方损失的，乙方应当补足</w:t>
      </w:r>
      <w:r>
        <w:rPr>
          <w:rFonts w:hint="eastAsia" w:ascii="仿宋_GB2312" w:hAnsi="仿宋_GB2312" w:eastAsia="仿宋_GB2312" w:cs="仿宋_GB2312"/>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①乙方逾期任何一项工作达10个日历天的</w:t>
      </w:r>
      <w:r>
        <w:rPr>
          <w:rFonts w:hint="eastAsia" w:ascii="仿宋_GB2312" w:hAnsi="仿宋_GB2312" w:eastAsia="仿宋_GB2312" w:cs="仿宋_GB2312"/>
          <w:sz w:val="30"/>
          <w:szCs w:val="30"/>
          <w:highlight w:val="none"/>
          <w:lang w:eastAsia="zh-Hans"/>
        </w:rPr>
        <w:t>，</w:t>
      </w:r>
      <w:r>
        <w:rPr>
          <w:rFonts w:hint="eastAsia" w:ascii="仿宋_GB2312" w:hAnsi="仿宋_GB2312" w:eastAsia="仿宋_GB2312" w:cs="仿宋_GB2312"/>
          <w:sz w:val="30"/>
          <w:szCs w:val="30"/>
          <w:highlight w:val="none"/>
          <w:lang w:val="en-US" w:eastAsia="zh-Hans"/>
        </w:rPr>
        <w:t>或累计两次以上（含两次）逾期提交阶段性服务成果的</w:t>
      </w:r>
      <w:r>
        <w:rPr>
          <w:rFonts w:hint="eastAsia" w:ascii="仿宋_GB2312" w:hAnsi="仿宋_GB2312" w:eastAsia="仿宋_GB2312" w:cs="仿宋_GB2312"/>
          <w:sz w:val="30"/>
          <w:szCs w:val="30"/>
          <w:highlight w:val="none"/>
        </w:rPr>
        <w:t>；</w:t>
      </w:r>
    </w:p>
    <w:p>
      <w:pPr>
        <w:pStyle w:val="4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kern w:val="2"/>
          <w:sz w:val="30"/>
          <w:szCs w:val="30"/>
          <w:highlight w:val="none"/>
          <w:lang w:val="en-US" w:eastAsia="zh-CN" w:bidi="ar-SA"/>
        </w:rPr>
        <w:t>②乙方将此项工作（包括主要工作、辅助工作）转包给第三</w:t>
      </w:r>
      <w:r>
        <w:rPr>
          <w:rFonts w:hint="eastAsia" w:ascii="仿宋_GB2312" w:hAnsi="仿宋_GB2312" w:eastAsia="仿宋_GB2312" w:cs="仿宋_GB2312"/>
          <w:sz w:val="30"/>
          <w:szCs w:val="30"/>
          <w:highlight w:val="none"/>
        </w:rPr>
        <w:t xml:space="preserve">方； </w:t>
      </w:r>
    </w:p>
    <w:p>
      <w:pPr>
        <w:pStyle w:val="4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textAlignment w:val="auto"/>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③</w:t>
      </w:r>
      <w:r>
        <w:rPr>
          <w:rFonts w:hint="eastAsia" w:ascii="仿宋_GB2312" w:hAnsi="仿宋_GB2312" w:eastAsia="仿宋_GB2312" w:cs="仿宋_GB2312"/>
          <w:sz w:val="30"/>
          <w:szCs w:val="30"/>
          <w:highlight w:val="none"/>
        </w:rPr>
        <w:t>乙方出现接受馈赠、参加宴请、抄袭或与真实性不符的；</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④资料、数据外泄至第三方（包括但不限于竞争单位、网络或被媒体曝光）。</w:t>
      </w:r>
    </w:p>
    <w:p>
      <w:pPr>
        <w:pStyle w:val="2"/>
        <w:rPr>
          <w:rFonts w:hint="default" w:eastAsia="仿宋_GB2312"/>
          <w:lang w:val="en-US" w:eastAsia="zh-Hans"/>
        </w:rPr>
      </w:pPr>
      <w:r>
        <w:rPr>
          <w:rFonts w:hint="default" w:ascii="仿宋_GB2312" w:hAnsi="仿宋_GB2312" w:eastAsia="仿宋_GB2312" w:cs="仿宋_GB2312"/>
          <w:sz w:val="30"/>
          <w:szCs w:val="30"/>
          <w:highlight w:val="none"/>
        </w:rPr>
        <w:t xml:space="preserve">    </w:t>
      </w:r>
      <w:r>
        <w:rPr>
          <w:rFonts w:hint="default" w:ascii="仿宋_GB2312" w:hAnsi="仿宋_GB2312" w:eastAsia="仿宋_GB2312" w:cs="仿宋_GB2312"/>
          <w:sz w:val="30"/>
          <w:szCs w:val="30"/>
          <w:highlight w:val="none"/>
        </w:rPr>
        <w:fldChar w:fldCharType="begin"/>
      </w:r>
      <w:r>
        <w:rPr>
          <w:rFonts w:hint="default" w:ascii="仿宋_GB2312" w:hAnsi="仿宋_GB2312" w:eastAsia="仿宋_GB2312" w:cs="仿宋_GB2312"/>
          <w:sz w:val="30"/>
          <w:szCs w:val="30"/>
          <w:highlight w:val="none"/>
        </w:rPr>
        <w:instrText xml:space="preserve"> = 5 \* GB3 \* MERGEFORMAT </w:instrText>
      </w:r>
      <w:r>
        <w:rPr>
          <w:rFonts w:hint="default" w:ascii="仿宋_GB2312" w:hAnsi="仿宋_GB2312" w:eastAsia="仿宋_GB2312" w:cs="仿宋_GB2312"/>
          <w:sz w:val="30"/>
          <w:szCs w:val="30"/>
          <w:highlight w:val="none"/>
        </w:rPr>
        <w:fldChar w:fldCharType="separate"/>
      </w:r>
      <w:r>
        <w:t>⑤</w:t>
      </w:r>
      <w:r>
        <w:rPr>
          <w:rFonts w:hint="default" w:ascii="仿宋_GB2312" w:hAnsi="仿宋_GB2312" w:eastAsia="仿宋_GB2312" w:cs="仿宋_GB2312"/>
          <w:sz w:val="30"/>
          <w:szCs w:val="30"/>
          <w:highlight w:val="none"/>
        </w:rPr>
        <w:fldChar w:fldCharType="end"/>
      </w:r>
      <w:r>
        <w:rPr>
          <w:rFonts w:hint="eastAsia" w:ascii="仿宋_GB2312" w:hAnsi="仿宋_GB2312" w:eastAsia="仿宋_GB2312" w:cs="仿宋_GB2312"/>
          <w:sz w:val="30"/>
          <w:szCs w:val="30"/>
          <w:highlight w:val="none"/>
          <w:lang w:val="en-US" w:eastAsia="zh-Hans"/>
        </w:rPr>
        <w:t>恶意将与本合同项下约定服务内容相关的知识产权（含相似或片段元素）进行抢前注册、备案。</w:t>
      </w:r>
    </w:p>
    <w:p>
      <w:pPr>
        <w:spacing w:line="560" w:lineRule="exact"/>
        <w:ind w:firstLine="600" w:firstLineChars="20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rPr>
        <w:t>（</w:t>
      </w:r>
      <w:r>
        <w:rPr>
          <w:rFonts w:ascii="仿宋_GB2312" w:hAnsi="仿宋_GB2312" w:eastAsia="仿宋_GB2312" w:cs="仿宋_GB2312"/>
          <w:sz w:val="30"/>
          <w:szCs w:val="30"/>
          <w:highlight w:val="none"/>
        </w:rPr>
        <w:t>3</w:t>
      </w:r>
      <w:r>
        <w:rPr>
          <w:rFonts w:hint="eastAsia" w:ascii="仿宋_GB2312" w:hAnsi="仿宋_GB2312" w:eastAsia="仿宋_GB2312" w:cs="仿宋_GB2312"/>
          <w:sz w:val="30"/>
          <w:szCs w:val="30"/>
          <w:highlight w:val="none"/>
        </w:rPr>
        <w:t>）乙方违反本合同约定即为违约，如乙方违约后，甲方要求乙方继续履行合同的，乙方除承担上述违约责任后还应将合同继续履行</w:t>
      </w:r>
      <w:r>
        <w:rPr>
          <w:rFonts w:hint="eastAsia" w:ascii="仿宋_GB2312" w:hAnsi="仿宋_GB2312" w:eastAsia="仿宋_GB2312" w:cs="仿宋_GB2312"/>
          <w:sz w:val="30"/>
          <w:szCs w:val="30"/>
          <w:highlight w:val="none"/>
          <w:lang w:eastAsia="zh-CN"/>
        </w:rPr>
        <w:t>。</w:t>
      </w:r>
    </w:p>
    <w:p>
      <w:pPr>
        <w:pStyle w:val="45"/>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leftChars="0" w:firstLine="600" w:firstLineChars="200"/>
        <w:textAlignment w:val="auto"/>
        <w:rPr>
          <w:rFonts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rPr>
        <w:t>2、</w:t>
      </w:r>
      <w:r>
        <w:rPr>
          <w:rFonts w:hint="eastAsia" w:ascii="仿宋_GB2312" w:hAnsi="仿宋_GB2312" w:eastAsia="仿宋_GB2312" w:cs="仿宋_GB2312"/>
          <w:kern w:val="2"/>
          <w:sz w:val="30"/>
          <w:szCs w:val="30"/>
          <w:highlight w:val="none"/>
        </w:rPr>
        <w:t>仲裁或诉讼</w:t>
      </w:r>
    </w:p>
    <w:p>
      <w:pPr>
        <w:pStyle w:val="4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firstLineChars="200"/>
        <w:rPr>
          <w:rFonts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rPr>
        <w:t>因合同及合同有关事项发生的争议，按下列第 （2） 种方式解决：</w:t>
      </w:r>
    </w:p>
    <w:p>
      <w:pPr>
        <w:pStyle w:val="4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firstLineChars="200"/>
        <w:rPr>
          <w:rFonts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rPr>
        <w:t>（1）向</w:t>
      </w:r>
      <w:r>
        <w:rPr>
          <w:rFonts w:ascii="仿宋_GB2312" w:hAnsi="仿宋_GB2312" w:eastAsia="仿宋_GB2312" w:cs="仿宋_GB2312"/>
          <w:kern w:val="2"/>
          <w:sz w:val="30"/>
          <w:szCs w:val="30"/>
          <w:highlight w:val="none"/>
          <w:u w:val="single"/>
        </w:rPr>
        <w:t xml:space="preserve">  /  </w:t>
      </w:r>
      <w:r>
        <w:rPr>
          <w:rFonts w:hint="eastAsia" w:ascii="仿宋_GB2312" w:hAnsi="仿宋_GB2312" w:eastAsia="仿宋_GB2312" w:cs="仿宋_GB2312"/>
          <w:kern w:val="2"/>
          <w:sz w:val="30"/>
          <w:szCs w:val="30"/>
          <w:highlight w:val="none"/>
        </w:rPr>
        <w:t>仲裁委员会申请仲裁；</w:t>
      </w:r>
    </w:p>
    <w:p>
      <w:pPr>
        <w:pStyle w:val="4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0" w:firstLineChars="200"/>
        <w:rPr>
          <w:rFonts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rPr>
        <w:t>（2）向</w:t>
      </w:r>
      <w:r>
        <w:rPr>
          <w:rFonts w:ascii="仿宋_GB2312" w:hAnsi="仿宋_GB2312" w:eastAsia="仿宋_GB2312" w:cs="仿宋_GB2312"/>
          <w:kern w:val="2"/>
          <w:sz w:val="30"/>
          <w:szCs w:val="30"/>
          <w:highlight w:val="none"/>
          <w:u w:val="single"/>
        </w:rPr>
        <w:t xml:space="preserve"> </w:t>
      </w:r>
      <w:r>
        <w:rPr>
          <w:rFonts w:hint="eastAsia" w:ascii="仿宋_GB2312" w:hAnsi="仿宋_GB2312" w:eastAsia="仿宋_GB2312" w:cs="仿宋_GB2312"/>
          <w:kern w:val="2"/>
          <w:sz w:val="30"/>
          <w:szCs w:val="30"/>
          <w:highlight w:val="none"/>
          <w:u w:val="single"/>
          <w:lang w:val="en-US" w:eastAsia="zh-CN"/>
        </w:rPr>
        <w:t>深圳市光明区</w:t>
      </w:r>
      <w:r>
        <w:rPr>
          <w:rFonts w:ascii="仿宋_GB2312" w:hAnsi="仿宋_GB2312" w:eastAsia="仿宋_GB2312" w:cs="仿宋_GB2312"/>
          <w:kern w:val="2"/>
          <w:sz w:val="30"/>
          <w:szCs w:val="30"/>
          <w:highlight w:val="none"/>
          <w:u w:val="single"/>
        </w:rPr>
        <w:t xml:space="preserve">人民法院  </w:t>
      </w:r>
      <w:r>
        <w:rPr>
          <w:rFonts w:hint="eastAsia" w:ascii="仿宋_GB2312" w:hAnsi="仿宋_GB2312" w:eastAsia="仿宋_GB2312" w:cs="仿宋_GB2312"/>
          <w:kern w:val="2"/>
          <w:sz w:val="30"/>
          <w:szCs w:val="30"/>
          <w:highlight w:val="none"/>
        </w:rPr>
        <w:t>起诉。</w:t>
      </w:r>
    </w:p>
    <w:p>
      <w:pPr>
        <w:pStyle w:val="35"/>
        <w:numPr>
          <w:ilvl w:val="0"/>
          <w:numId w:val="0"/>
        </w:numPr>
        <w:spacing w:line="560" w:lineRule="exact"/>
        <w:ind w:left="0" w:leftChars="0" w:firstLine="600" w:firstLineChars="200"/>
        <w:rPr>
          <w:rFonts w:ascii="仿宋_GB2312" w:hAnsi="仿宋_GB2312" w:eastAsia="仿宋_GB2312" w:cs="仿宋_GB2312"/>
          <w:b/>
          <w:sz w:val="30"/>
          <w:szCs w:val="30"/>
          <w:highlight w:val="none"/>
        </w:rPr>
      </w:pPr>
      <w:r>
        <w:rPr>
          <w:rFonts w:hint="default" w:ascii="仿宋_GB2312" w:hAnsi="仿宋_GB2312" w:eastAsia="仿宋_GB2312" w:cs="仿宋_GB2312"/>
          <w:b/>
          <w:kern w:val="2"/>
          <w:sz w:val="30"/>
          <w:szCs w:val="30"/>
          <w:lang w:val="en-US" w:eastAsia="zh-CN" w:bidi="ar-SA"/>
        </w:rPr>
        <w:t>十</w:t>
      </w:r>
      <w:r>
        <w:rPr>
          <w:rFonts w:hint="eastAsia" w:ascii="仿宋_GB2312" w:hAnsi="仿宋_GB2312" w:eastAsia="仿宋_GB2312" w:cs="仿宋_GB2312"/>
          <w:b/>
          <w:kern w:val="2"/>
          <w:sz w:val="30"/>
          <w:szCs w:val="30"/>
          <w:lang w:val="en-US" w:eastAsia="zh-CN" w:bidi="ar-SA"/>
        </w:rPr>
        <w:t>三</w:t>
      </w:r>
      <w:r>
        <w:rPr>
          <w:rFonts w:hint="default" w:ascii="仿宋_GB2312" w:hAnsi="仿宋_GB2312" w:eastAsia="仿宋_GB2312" w:cs="仿宋_GB2312"/>
          <w:b/>
          <w:kern w:val="2"/>
          <w:sz w:val="30"/>
          <w:szCs w:val="30"/>
          <w:lang w:val="en-US" w:eastAsia="zh-CN" w:bidi="ar-SA"/>
        </w:rPr>
        <w:t>、</w:t>
      </w:r>
      <w:r>
        <w:rPr>
          <w:rFonts w:hint="eastAsia" w:ascii="仿宋_GB2312" w:hAnsi="仿宋_GB2312" w:eastAsia="仿宋_GB2312" w:cs="仿宋_GB2312"/>
          <w:b/>
          <w:sz w:val="30"/>
          <w:szCs w:val="30"/>
          <w:highlight w:val="none"/>
        </w:rPr>
        <w:t>其他</w:t>
      </w:r>
    </w:p>
    <w:p>
      <w:pPr>
        <w:pStyle w:val="35"/>
        <w:tabs>
          <w:tab w:val="left" w:pos="567"/>
        </w:tabs>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1、本合同自双方签字盖章之日起生效。</w:t>
      </w:r>
    </w:p>
    <w:p>
      <w:pPr>
        <w:pStyle w:val="35"/>
        <w:spacing w:line="56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2、合同份数：本合同一式陆份，其中甲方执肆份，乙方执贰份。</w:t>
      </w:r>
    </w:p>
    <w:p>
      <w:pPr>
        <w:pStyle w:val="14"/>
        <w:spacing w:line="560" w:lineRule="exact"/>
        <w:ind w:left="0" w:leftChars="0" w:firstLine="640" w:firstLineChars="200"/>
        <w:rPr>
          <w:rFonts w:hint="eastAsia" w:ascii="仿宋_GB2312" w:hAnsi="仿宋_GB2312" w:eastAsia="仿宋_GB2312" w:cs="仿宋_GB2312"/>
          <w:i/>
          <w:spacing w:val="10"/>
          <w:sz w:val="30"/>
          <w:szCs w:val="30"/>
          <w:highlight w:val="none"/>
        </w:rPr>
      </w:pP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i/>
          <w:spacing w:val="10"/>
          <w:sz w:val="30"/>
          <w:szCs w:val="30"/>
          <w:highlight w:val="none"/>
        </w:rPr>
        <w:t>（合同协议条款正文 完）</w:t>
      </w:r>
    </w:p>
    <w:p>
      <w:pPr>
        <w:pStyle w:val="14"/>
        <w:spacing w:line="560" w:lineRule="exact"/>
        <w:ind w:left="0" w:leftChars="0" w:firstLine="640" w:firstLineChars="200"/>
        <w:rPr>
          <w:rFonts w:hint="eastAsia" w:ascii="仿宋_GB2312" w:hAnsi="仿宋_GB2312" w:eastAsia="仿宋_GB2312" w:cs="仿宋_GB2312"/>
          <w:spacing w:val="10"/>
          <w:sz w:val="30"/>
          <w:szCs w:val="30"/>
          <w:highlight w:val="none"/>
        </w:rPr>
      </w:pP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兹证明双方签订如下：</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p>
    <w:p>
      <w:pPr>
        <w:pStyle w:val="14"/>
        <w:spacing w:line="560" w:lineRule="exact"/>
        <w:ind w:left="0" w:leftChars="0" w:firstLine="640" w:firstLineChars="200"/>
        <w:rPr>
          <w:rFonts w:hint="eastAsia" w:ascii="仿宋_GB2312" w:hAnsi="仿宋_GB2312" w:eastAsia="仿宋_GB2312" w:cs="仿宋_GB2312"/>
          <w:color w:val="000000" w:themeColor="text1"/>
          <w:spacing w:val="10"/>
          <w:sz w:val="30"/>
          <w:szCs w:val="30"/>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10"/>
          <w:sz w:val="30"/>
          <w:szCs w:val="30"/>
          <w:highlight w:val="none"/>
          <w14:textFill>
            <w14:solidFill>
              <w14:schemeClr w14:val="tx1"/>
            </w14:solidFill>
          </w14:textFill>
        </w:rPr>
        <w:t>甲方：</w:t>
      </w:r>
      <w:r>
        <w:rPr>
          <w:rFonts w:hint="eastAsia" w:ascii="仿宋_GB2312" w:hAnsi="仿宋_GB2312" w:eastAsia="仿宋_GB2312" w:cs="仿宋_GB2312"/>
          <w:color w:val="000000" w:themeColor="text1"/>
          <w:spacing w:val="10"/>
          <w:sz w:val="30"/>
          <w:szCs w:val="30"/>
          <w:highlight w:val="none"/>
          <w:lang w:eastAsia="zh-CN"/>
          <w14:textFill>
            <w14:solidFill>
              <w14:schemeClr w14:val="tx1"/>
            </w14:solidFill>
          </w14:textFill>
        </w:rPr>
        <w:t xml:space="preserve">深圳市安之联置业有限公司 </w:t>
      </w:r>
    </w:p>
    <w:p>
      <w:pPr>
        <w:pStyle w:val="14"/>
        <w:spacing w:line="560" w:lineRule="exact"/>
        <w:ind w:left="0" w:leftChars="0" w:firstLine="640" w:firstLineChars="200"/>
        <w:rPr>
          <w:rFonts w:ascii="仿宋_GB2312" w:hAnsi="仿宋_GB2312" w:eastAsia="仿宋_GB2312" w:cs="仿宋_GB2312"/>
          <w:color w:val="000000" w:themeColor="text1"/>
          <w:spacing w:val="10"/>
          <w:sz w:val="30"/>
          <w:szCs w:val="30"/>
          <w:highlight w:val="none"/>
          <w14:textFill>
            <w14:solidFill>
              <w14:schemeClr w14:val="tx1"/>
            </w14:solidFill>
          </w14:textFill>
        </w:rPr>
      </w:pPr>
      <w:r>
        <w:rPr>
          <w:rFonts w:hint="eastAsia" w:ascii="仿宋_GB2312" w:hAnsi="仿宋_GB2312" w:eastAsia="仿宋_GB2312" w:cs="仿宋_GB2312"/>
          <w:spacing w:val="10"/>
          <w:sz w:val="30"/>
          <w:szCs w:val="30"/>
          <w:highlight w:val="none"/>
        </w:rPr>
        <w:t>地</w:t>
      </w:r>
      <w:r>
        <w:rPr>
          <w:rFonts w:hint="eastAsia" w:ascii="仿宋_GB2312" w:hAnsi="仿宋_GB2312" w:eastAsia="仿宋_GB2312" w:cs="仿宋_GB2312"/>
          <w:color w:val="000000" w:themeColor="text1"/>
          <w:spacing w:val="10"/>
          <w:sz w:val="30"/>
          <w:szCs w:val="30"/>
          <w:highlight w:val="none"/>
          <w14:textFill>
            <w14:solidFill>
              <w14:schemeClr w14:val="tx1"/>
            </w14:solidFill>
          </w14:textFill>
        </w:rPr>
        <w:t xml:space="preserve">址：  </w:t>
      </w:r>
    </w:p>
    <w:p>
      <w:pPr>
        <w:pStyle w:val="14"/>
        <w:spacing w:line="560" w:lineRule="exact"/>
        <w:ind w:left="0" w:leftChars="0" w:firstLine="640" w:firstLineChars="200"/>
        <w:rPr>
          <w:rFonts w:ascii="仿宋_GB2312" w:hAnsi="仿宋_GB2312" w:eastAsia="仿宋_GB2312" w:cs="仿宋_GB2312"/>
          <w:spacing w:val="10"/>
          <w:sz w:val="30"/>
          <w:szCs w:val="30"/>
          <w:highlight w:val="none"/>
          <w:u w:val="single"/>
        </w:rPr>
      </w:pPr>
      <w:r>
        <w:rPr>
          <w:rFonts w:hint="eastAsia" w:ascii="仿宋_GB2312" w:hAnsi="仿宋_GB2312" w:eastAsia="仿宋_GB2312" w:cs="仿宋_GB2312"/>
          <w:spacing w:val="10"/>
          <w:sz w:val="30"/>
          <w:szCs w:val="30"/>
          <w:highlight w:val="none"/>
        </w:rPr>
        <w:t>法定代表人或授权代表签署：</w:t>
      </w:r>
      <w:r>
        <w:rPr>
          <w:rFonts w:hint="eastAsia" w:ascii="仿宋_GB2312" w:hAnsi="仿宋_GB2312" w:eastAsia="仿宋_GB2312" w:cs="仿宋_GB2312"/>
          <w:spacing w:val="10"/>
          <w:sz w:val="30"/>
          <w:szCs w:val="30"/>
          <w:highlight w:val="none"/>
          <w:u w:val="single"/>
        </w:rPr>
        <w:t xml:space="preserve">                      </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开户银行：</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户名：</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银行账号：</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 xml:space="preserve">乙方：  </w:t>
      </w:r>
    </w:p>
    <w:p>
      <w:pPr>
        <w:pStyle w:val="14"/>
        <w:spacing w:line="560" w:lineRule="exact"/>
        <w:ind w:left="0" w:leftChars="0" w:firstLine="640" w:firstLineChars="200"/>
        <w:rPr>
          <w:rFonts w:ascii="仿宋_GB2312" w:hAnsi="仿宋_GB2312" w:eastAsia="仿宋_GB2312" w:cs="仿宋_GB2312"/>
          <w:color w:val="000000" w:themeColor="text1"/>
          <w:spacing w:val="10"/>
          <w:sz w:val="30"/>
          <w:szCs w:val="30"/>
          <w:highlight w:val="none"/>
          <w14:textFill>
            <w14:solidFill>
              <w14:schemeClr w14:val="tx1"/>
            </w14:solidFill>
          </w14:textFill>
        </w:rPr>
      </w:pPr>
      <w:r>
        <w:rPr>
          <w:rFonts w:hint="eastAsia" w:ascii="仿宋_GB2312" w:hAnsi="仿宋_GB2312" w:eastAsia="仿宋_GB2312" w:cs="仿宋_GB2312"/>
          <w:color w:val="000000" w:themeColor="text1"/>
          <w:spacing w:val="10"/>
          <w:sz w:val="30"/>
          <w:szCs w:val="30"/>
          <w:highlight w:val="none"/>
          <w14:textFill>
            <w14:solidFill>
              <w14:schemeClr w14:val="tx1"/>
            </w14:solidFill>
          </w14:textFill>
        </w:rPr>
        <w:t xml:space="preserve">地址： </w:t>
      </w:r>
    </w:p>
    <w:p>
      <w:pPr>
        <w:pStyle w:val="14"/>
        <w:spacing w:line="560" w:lineRule="exact"/>
        <w:ind w:left="0" w:leftChars="0" w:firstLine="640" w:firstLineChars="200"/>
        <w:rPr>
          <w:rFonts w:ascii="仿宋_GB2312" w:hAnsi="仿宋_GB2312" w:eastAsia="仿宋_GB2312" w:cs="仿宋_GB2312"/>
          <w:spacing w:val="10"/>
          <w:sz w:val="30"/>
          <w:szCs w:val="30"/>
          <w:highlight w:val="none"/>
          <w:u w:val="single"/>
        </w:rPr>
      </w:pPr>
      <w:r>
        <w:rPr>
          <w:rFonts w:hint="eastAsia" w:ascii="仿宋_GB2312" w:hAnsi="仿宋_GB2312" w:eastAsia="仿宋_GB2312" w:cs="仿宋_GB2312"/>
          <w:spacing w:val="10"/>
          <w:sz w:val="30"/>
          <w:szCs w:val="30"/>
          <w:highlight w:val="none"/>
        </w:rPr>
        <w:t>法定代表人或授权代表签署：</w:t>
      </w:r>
      <w:r>
        <w:rPr>
          <w:rFonts w:hint="eastAsia" w:ascii="仿宋_GB2312" w:hAnsi="仿宋_GB2312" w:eastAsia="仿宋_GB2312" w:cs="仿宋_GB2312"/>
          <w:spacing w:val="10"/>
          <w:sz w:val="30"/>
          <w:szCs w:val="30"/>
          <w:highlight w:val="none"/>
          <w:u w:val="single"/>
        </w:rPr>
        <w:t xml:space="preserve">                      </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开户银行：</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户名：</w:t>
      </w:r>
    </w:p>
    <w:p>
      <w:pPr>
        <w:pStyle w:val="14"/>
        <w:spacing w:line="560" w:lineRule="exact"/>
        <w:ind w:left="0" w:leftChars="0" w:firstLine="640" w:firstLineChars="200"/>
        <w:rPr>
          <w:rFonts w:ascii="仿宋_GB2312" w:hAnsi="仿宋_GB2312" w:eastAsia="仿宋_GB2312" w:cs="仿宋_GB2312"/>
          <w:spacing w:val="10"/>
          <w:sz w:val="30"/>
          <w:szCs w:val="30"/>
          <w:highlight w:val="none"/>
        </w:rPr>
      </w:pPr>
      <w:r>
        <w:rPr>
          <w:rFonts w:hint="eastAsia" w:ascii="仿宋_GB2312" w:hAnsi="仿宋_GB2312" w:eastAsia="仿宋_GB2312" w:cs="仿宋_GB2312"/>
          <w:spacing w:val="10"/>
          <w:sz w:val="30"/>
          <w:szCs w:val="30"/>
          <w:highlight w:val="none"/>
        </w:rPr>
        <w:t>银行账号：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val="0"/>
          <w:color w:val="000000"/>
          <w:sz w:val="28"/>
          <w:szCs w:val="28"/>
          <w:highlight w:val="none"/>
          <w:lang w:val="en-US" w:eastAsia="zh-CN"/>
        </w:rPr>
      </w:pPr>
    </w:p>
    <w:p>
      <w:pPr>
        <w:pStyle w:val="2"/>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pStyle w:val="3"/>
        <w:rPr>
          <w:rFonts w:hint="eastAsia" w:ascii="楷体" w:hAnsi="楷体" w:eastAsia="楷体" w:cs="楷体"/>
          <w:b w:val="0"/>
          <w:bCs w:val="0"/>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val="0"/>
          <w:color w:val="000000"/>
          <w:sz w:val="28"/>
          <w:szCs w:val="28"/>
          <w:highlight w:val="none"/>
          <w:lang w:val="en-US" w:eastAsia="zh-CN"/>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val="0"/>
          <w:color w:val="000000"/>
          <w:sz w:val="28"/>
          <w:szCs w:val="28"/>
          <w:highlight w:val="none"/>
          <w:lang w:val="en-US" w:eastAsia="zh-CN"/>
        </w:rPr>
      </w:pPr>
      <w:r>
        <w:rPr>
          <w:rFonts w:hint="eastAsia" w:ascii="楷体" w:hAnsi="楷体" w:eastAsia="楷体" w:cs="楷体"/>
          <w:b w:val="0"/>
          <w:bCs w:val="0"/>
          <w:color w:val="000000"/>
          <w:sz w:val="28"/>
          <w:szCs w:val="28"/>
          <w:highlight w:val="none"/>
          <w:lang w:val="en-US" w:eastAsia="zh-CN"/>
        </w:rPr>
        <w:t>附件一：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highlight w:val="none"/>
          <w:lang w:eastAsia="zh-CN"/>
        </w:rPr>
      </w:pPr>
      <w:r>
        <w:rPr>
          <w:rFonts w:hint="default" w:ascii="Times New Roman" w:hAnsi="Times New Roman" w:eastAsia="方正小标宋简体" w:cs="Times New Roman"/>
          <w:b w:val="0"/>
          <w:bCs w:val="0"/>
          <w:color w:val="000000"/>
          <w:sz w:val="44"/>
          <w:szCs w:val="44"/>
          <w:highlight w:val="none"/>
        </w:rPr>
        <w:t>廉政合同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pacing w:val="0"/>
          <w:sz w:val="28"/>
          <w:szCs w:val="28"/>
          <w:highlight w:val="none"/>
          <w:lang w:val="en-US" w:eastAsia="zh-CN"/>
        </w:rPr>
        <w:t>为抓好物资设备等采购供应中的党风廉政建设，规范、约束采供双方行为，确保双方工作人员廉洁从业，_______</w:t>
      </w:r>
      <w:r>
        <w:rPr>
          <w:rFonts w:hint="eastAsia" w:ascii="仿宋" w:hAnsi="仿宋" w:eastAsia="仿宋" w:cs="仿宋"/>
          <w:color w:val="000000"/>
          <w:sz w:val="28"/>
          <w:szCs w:val="28"/>
          <w:highlight w:val="none"/>
          <w:lang w:val="en-US" w:eastAsia="zh-CN"/>
        </w:rPr>
        <w:t>（项目名称）的采购人</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（采购人名称，以下简称甲方）与该项目的供货商</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（供货商名称，以下简称乙方），特订立如下合同。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rPr>
        <w:t>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严格遵守党</w:t>
      </w:r>
      <w:r>
        <w:rPr>
          <w:rFonts w:hint="eastAsia" w:ascii="仿宋" w:hAnsi="仿宋" w:eastAsia="仿宋" w:cs="仿宋"/>
          <w:color w:val="000000"/>
          <w:sz w:val="28"/>
          <w:szCs w:val="28"/>
          <w:highlight w:val="none"/>
          <w:lang w:val="en-US" w:eastAsia="zh-CN"/>
        </w:rPr>
        <w:t>的政策</w:t>
      </w:r>
      <w:r>
        <w:rPr>
          <w:rFonts w:hint="eastAsia" w:ascii="仿宋" w:hAnsi="仿宋" w:eastAsia="仿宋" w:cs="仿宋"/>
          <w:color w:val="000000"/>
          <w:sz w:val="28"/>
          <w:szCs w:val="28"/>
          <w:highlight w:val="none"/>
        </w:rPr>
        <w:t>和国家有关法律</w:t>
      </w:r>
      <w:r>
        <w:rPr>
          <w:rFonts w:hint="eastAsia" w:ascii="仿宋" w:hAnsi="仿宋" w:eastAsia="仿宋" w:cs="仿宋"/>
          <w:color w:val="000000"/>
          <w:sz w:val="28"/>
          <w:szCs w:val="28"/>
          <w:highlight w:val="none"/>
          <w:lang w:val="en-US" w:eastAsia="zh-CN"/>
        </w:rPr>
        <w:t>法规的</w:t>
      </w:r>
      <w:r>
        <w:rPr>
          <w:rFonts w:hint="eastAsia" w:ascii="仿宋" w:hAnsi="仿宋" w:eastAsia="仿宋" w:cs="仿宋"/>
          <w:color w:val="000000"/>
          <w:sz w:val="28"/>
          <w:szCs w:val="28"/>
          <w:highlight w:val="none"/>
        </w:rPr>
        <w:t>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严格执行</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rPr>
        <w:t>合同文件</w:t>
      </w:r>
      <w:r>
        <w:rPr>
          <w:rFonts w:hint="eastAsia" w:ascii="仿宋" w:hAnsi="仿宋" w:eastAsia="仿宋" w:cs="仿宋"/>
          <w:color w:val="000000"/>
          <w:sz w:val="28"/>
          <w:szCs w:val="28"/>
          <w:highlight w:val="none"/>
          <w:u w:val="none"/>
          <w:lang w:val="en-US" w:eastAsia="zh-CN"/>
        </w:rPr>
        <w:t>名称</w:t>
      </w:r>
      <w:r>
        <w:rPr>
          <w:rFonts w:hint="eastAsia" w:ascii="仿宋" w:hAnsi="仿宋" w:eastAsia="仿宋" w:cs="仿宋"/>
          <w:color w:val="000000"/>
          <w:sz w:val="28"/>
          <w:szCs w:val="28"/>
          <w:highlight w:val="none"/>
          <w:u w:val="none"/>
          <w:lang w:eastAsia="zh-CN"/>
        </w:rPr>
        <w:t>）</w:t>
      </w:r>
      <w:r>
        <w:rPr>
          <w:rFonts w:hint="eastAsia" w:ascii="仿宋" w:hAnsi="仿宋" w:eastAsia="仿宋" w:cs="仿宋"/>
          <w:color w:val="000000"/>
          <w:sz w:val="28"/>
          <w:szCs w:val="28"/>
          <w:highlight w:val="none"/>
          <w:u w:val="none"/>
          <w:lang w:val="en-US" w:eastAsia="zh-CN"/>
        </w:rPr>
        <w:t>合同文件</w:t>
      </w:r>
      <w:r>
        <w:rPr>
          <w:rFonts w:hint="eastAsia" w:ascii="仿宋" w:hAnsi="仿宋" w:eastAsia="仿宋" w:cs="仿宋"/>
          <w:color w:val="000000"/>
          <w:sz w:val="28"/>
          <w:szCs w:val="28"/>
          <w:highlight w:val="none"/>
          <w:u w:val="none"/>
        </w:rPr>
        <w:t>，</w:t>
      </w:r>
      <w:r>
        <w:rPr>
          <w:rFonts w:hint="eastAsia" w:ascii="仿宋" w:hAnsi="仿宋" w:eastAsia="仿宋" w:cs="仿宋"/>
          <w:color w:val="000000"/>
          <w:sz w:val="28"/>
          <w:szCs w:val="28"/>
          <w:highlight w:val="none"/>
        </w:rPr>
        <w:t>自觉按合同办事。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3</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双方的业务活动坚持公开、公正、诚信、透明的原则</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法律认定的商业秘密和合同文件另有规定除外</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，不得损害国家和集体利益。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4</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建立健全廉政制度，开展廉政教育和廉洁文化建设</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公布举报电话，监督并认真查处</w:t>
      </w:r>
      <w:r>
        <w:rPr>
          <w:rFonts w:hint="eastAsia" w:ascii="仿宋" w:hAnsi="仿宋" w:eastAsia="仿宋" w:cs="仿宋"/>
          <w:color w:val="000000"/>
          <w:sz w:val="28"/>
          <w:szCs w:val="28"/>
          <w:highlight w:val="none"/>
          <w:lang w:val="en-US" w:eastAsia="zh-CN"/>
        </w:rPr>
        <w:t>违规</w:t>
      </w:r>
      <w:r>
        <w:rPr>
          <w:rFonts w:hint="eastAsia" w:ascii="仿宋" w:hAnsi="仿宋" w:eastAsia="仿宋" w:cs="仿宋"/>
          <w:color w:val="000000"/>
          <w:sz w:val="28"/>
          <w:szCs w:val="28"/>
          <w:highlight w:val="none"/>
        </w:rPr>
        <w:t>违纪违法行为。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5</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6</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发现对方严重违反本合同义务条款的行为，有向有关部门举报、建议给予处理并要求告知处理结果的权利。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2.甲方的义务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（1）甲方及其工作人员不得利用职务之便索要或接受乙方的礼品、礼金、消费卡和有价证券、股权、其他金融产品等财物。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（2）甲方及其工作人员不得在利用职务之便为乙方谋取利益之前或之后，约定在其离职后收受乙方财物，并在离职后收受。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（3）甲方及其工作人员不得在乙方报销应由甲方或个人支付的费用等。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sz w:val="28"/>
          <w:szCs w:val="28"/>
          <w:highlight w:val="none"/>
          <w:lang w:val="en-US" w:eastAsia="zh-CN"/>
        </w:rPr>
        <w:t>（4）甲方及其工作人员不得要求或者接受乙方可能影响公正执行公务的宴请以及旅游、健身、娱乐等活动安排，</w:t>
      </w:r>
      <w:r>
        <w:rPr>
          <w:rFonts w:hint="eastAsia" w:ascii="仿宋" w:hAnsi="仿宋" w:eastAsia="仿宋" w:cs="仿宋"/>
          <w:color w:val="000000"/>
          <w:sz w:val="28"/>
          <w:szCs w:val="28"/>
          <w:highlight w:val="none"/>
          <w:u w:val="none"/>
          <w:lang w:val="en-US" w:eastAsia="zh-CN"/>
        </w:rPr>
        <w:t>不得要求和接受乙方提供的交通工具、通讯工具、高档办公用品等。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（6）甲方及其工作人员不得要求乙方购买合同规定外的材料和设备。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（7）甲方及其工作人员不得有其他可能影响廉洁从业的行为。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3.乙方义务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（1）乙方及其工作人员不得以任何形式向甲方及其工作人员行贿或馈赠礼品、礼金、消费卡和有价证券、股权、其他金融产品等财物，以及回扣、好处费、感谢费等。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乙方及其工作人员不得与甲方及其工作人员约定，甲方及其工作人员</w:t>
      </w:r>
      <w:r>
        <w:rPr>
          <w:rFonts w:hint="eastAsia" w:ascii="仿宋" w:hAnsi="仿宋" w:eastAsia="仿宋" w:cs="仿宋"/>
          <w:color w:val="000000"/>
          <w:sz w:val="28"/>
          <w:szCs w:val="28"/>
          <w:highlight w:val="none"/>
          <w:lang w:eastAsia="zh-CN"/>
        </w:rPr>
        <w:t>利用职务之便为乙方谋取利益，</w:t>
      </w:r>
      <w:r>
        <w:rPr>
          <w:rFonts w:hint="eastAsia" w:ascii="仿宋" w:hAnsi="仿宋" w:eastAsia="仿宋" w:cs="仿宋"/>
          <w:color w:val="000000"/>
          <w:sz w:val="28"/>
          <w:szCs w:val="28"/>
          <w:highlight w:val="none"/>
          <w:lang w:val="en-US" w:eastAsia="zh-CN"/>
        </w:rPr>
        <w:t>乙方</w:t>
      </w:r>
      <w:r>
        <w:rPr>
          <w:rFonts w:hint="eastAsia" w:ascii="仿宋" w:hAnsi="仿宋" w:eastAsia="仿宋" w:cs="仿宋"/>
          <w:color w:val="000000"/>
          <w:sz w:val="28"/>
          <w:szCs w:val="28"/>
          <w:highlight w:val="none"/>
          <w:lang w:eastAsia="zh-CN"/>
        </w:rPr>
        <w:t>在其离职后</w:t>
      </w:r>
      <w:r>
        <w:rPr>
          <w:rFonts w:hint="eastAsia" w:ascii="仿宋" w:hAnsi="仿宋" w:eastAsia="仿宋" w:cs="仿宋"/>
          <w:color w:val="000000"/>
          <w:sz w:val="28"/>
          <w:szCs w:val="28"/>
          <w:highlight w:val="none"/>
          <w:lang w:val="en-US" w:eastAsia="zh-CN"/>
        </w:rPr>
        <w:t>给予</w:t>
      </w:r>
      <w:r>
        <w:rPr>
          <w:rFonts w:hint="eastAsia" w:ascii="仿宋" w:hAnsi="仿宋" w:eastAsia="仿宋" w:cs="仿宋"/>
          <w:color w:val="000000"/>
          <w:sz w:val="28"/>
          <w:szCs w:val="28"/>
          <w:highlight w:val="none"/>
          <w:lang w:eastAsia="zh-CN"/>
        </w:rPr>
        <w:t>财物。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（3）乙方不得以任何名义为甲方及其工作人员报销由甲方单位或个人支付的任何费用。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u w:val="none"/>
          <w:lang w:val="en-US" w:eastAsia="zh-CN"/>
        </w:rPr>
      </w:pPr>
      <w:r>
        <w:rPr>
          <w:rFonts w:hint="eastAsia" w:ascii="仿宋" w:hAnsi="仿宋" w:eastAsia="仿宋" w:cs="仿宋"/>
          <w:color w:val="000000"/>
          <w:sz w:val="28"/>
          <w:szCs w:val="28"/>
          <w:highlight w:val="none"/>
          <w:lang w:val="en-US" w:eastAsia="zh-CN"/>
        </w:rPr>
        <w:t>（4）乙方及其工作人员不得以任何理由邀请甲方工作人员参与可能影响公正执行公务的宴请以及旅游、健身、娱乐等活动。</w:t>
      </w:r>
      <w:r>
        <w:rPr>
          <w:rFonts w:hint="eastAsia" w:ascii="仿宋" w:hAnsi="仿宋" w:eastAsia="仿宋" w:cs="仿宋"/>
          <w:color w:val="000000"/>
          <w:sz w:val="28"/>
          <w:szCs w:val="28"/>
          <w:highlight w:val="none"/>
          <w:u w:val="none"/>
          <w:lang w:val="en-US" w:eastAsia="zh-CN"/>
        </w:rPr>
        <w:t>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（5）乙方及其工作人员不得为甲方工作人员住房装修、婚丧嫁娶、出国出境、旅游等提供方便；不得为甲方工作人员的特定关系人以安排工作为名，使其不实际工作却获取薪酬。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（6）甲方及其工作人员不得有其他可能影响廉洁从业的行为。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4.违约责任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（1）甲方及其工作人员违反本合同第1、2条，按管理权限，依据有关规定给予党纪政务处分和组织处理；涉嫌犯罪的，移交司法机关追究刑事责任；给乙方单位造成经济损失的，应予以赔偿。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（2）乙方及其工作人员违反本合同第1、3条，按管理权限，依据有关规定，给予相关处理；给甲方单位造成经济损失的，应予以赔偿。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5.本合同有效期为甲乙双方签署之日起至该供货合同履行完毕后止。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6.本合同作为</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lang w:val="en-US" w:eastAsia="zh-CN"/>
        </w:rPr>
        <w:t>（合同文件名称）的附件，与采购合同具有同等的法律效力，经合同双方签署立即生效。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sz w:val="28"/>
          <w:szCs w:val="28"/>
          <w:highlight w:val="none"/>
          <w:u w:val="none"/>
          <w:lang w:bidi="ar"/>
        </w:rPr>
      </w:pPr>
      <w:r>
        <w:rPr>
          <w:rFonts w:hint="eastAsia" w:ascii="仿宋" w:hAnsi="仿宋" w:eastAsia="仿宋" w:cs="仿宋"/>
          <w:color w:val="000000"/>
          <w:sz w:val="28"/>
          <w:szCs w:val="28"/>
          <w:highlight w:val="none"/>
          <w:u w:val="none"/>
          <w:lang w:val="en-US" w:eastAsia="zh-CN"/>
        </w:rPr>
        <w:t>7.本合</w:t>
      </w:r>
      <w:r>
        <w:rPr>
          <w:rFonts w:hint="eastAsia" w:ascii="仿宋" w:hAnsi="仿宋" w:eastAsia="仿宋" w:cs="仿宋"/>
          <w:i w:val="0"/>
          <w:iCs w:val="0"/>
          <w:color w:val="000000"/>
          <w:sz w:val="28"/>
          <w:szCs w:val="28"/>
          <w:highlight w:val="none"/>
          <w:u w:val="none"/>
          <w:lang w:val="en-US" w:eastAsia="zh-CN"/>
        </w:rPr>
        <w:t>同一式陆份，由甲方各执叁份，乙方执壹份送交双方监督单位各壹份</w:t>
      </w:r>
      <w:r>
        <w:rPr>
          <w:rFonts w:hint="eastAsia" w:ascii="仿宋" w:hAnsi="仿宋" w:eastAsia="仿宋" w:cs="仿宋"/>
          <w:color w:val="000000"/>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甲方单位：（盖章）               乙方单位：（盖章）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法定代表人：                    法定代表人：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或                              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其授权的代理人：                其授权的代理人：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年   月   日                    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甲方监督单位：（</w:t>
      </w:r>
      <w:r>
        <w:rPr>
          <w:rFonts w:hint="eastAsia" w:ascii="仿宋" w:hAnsi="仿宋" w:eastAsia="仿宋" w:cs="仿宋"/>
          <w:color w:val="000000"/>
          <w:sz w:val="28"/>
          <w:szCs w:val="28"/>
          <w:highlight w:val="none"/>
          <w:lang w:val="en-US" w:eastAsia="zh-CN"/>
        </w:rPr>
        <w:t>签字</w:t>
      </w: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乙方监督单位：（</w:t>
      </w:r>
      <w:r>
        <w:rPr>
          <w:rFonts w:hint="eastAsia" w:ascii="仿宋" w:hAnsi="仿宋" w:eastAsia="仿宋" w:cs="仿宋"/>
          <w:color w:val="000000"/>
          <w:sz w:val="28"/>
          <w:szCs w:val="28"/>
          <w:highlight w:val="none"/>
          <w:lang w:val="en-US" w:eastAsia="zh-CN"/>
        </w:rPr>
        <w:t>签字</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8"/>
          <w:szCs w:val="28"/>
          <w:highlight w:val="none"/>
        </w:rPr>
      </w:pPr>
    </w:p>
    <w:p>
      <w:pPr>
        <w:jc w:val="center"/>
        <w:rPr>
          <w:rFonts w:hint="eastAsia" w:ascii="仿宋" w:hAnsi="仿宋" w:eastAsia="仿宋" w:cs="仿宋"/>
          <w:sz w:val="28"/>
          <w:szCs w:val="28"/>
          <w:highlight w:val="none"/>
        </w:rPr>
      </w:pPr>
    </w:p>
    <w:p>
      <w:pPr>
        <w:pStyle w:val="4"/>
        <w:numPr>
          <w:ilvl w:val="0"/>
          <w:numId w:val="0"/>
        </w:numPr>
        <w:spacing w:before="312" w:after="312"/>
        <w:ind w:left="402" w:leftChars="0"/>
        <w:rPr>
          <w:rFonts w:ascii="Times New Roman" w:hAnsi="Times New Roman" w:eastAsia="宋体" w:cs="Times New Roman"/>
          <w:highlight w:val="none"/>
        </w:rPr>
      </w:pPr>
      <w:r>
        <w:rPr>
          <w:rFonts w:hint="eastAsia" w:ascii="仿宋" w:hAnsi="仿宋" w:eastAsia="仿宋" w:cs="仿宋"/>
          <w:sz w:val="28"/>
          <w:szCs w:val="28"/>
          <w:highlight w:val="none"/>
        </w:rPr>
        <w:br w:type="page"/>
      </w:r>
      <w:bookmarkEnd w:id="158"/>
      <w:bookmarkEnd w:id="159"/>
      <w:bookmarkEnd w:id="160"/>
      <w:bookmarkStart w:id="162" w:name="_Toc17834_WPSOffice_Level1"/>
      <w:r>
        <w:rPr>
          <w:rFonts w:hint="eastAsia" w:ascii="Times New Roman" w:hAnsi="Times New Roman" w:eastAsia="宋体" w:cs="Times New Roman"/>
          <w:highlight w:val="none"/>
          <w:lang w:val="en-US" w:eastAsia="zh-CN"/>
        </w:rPr>
        <w:t xml:space="preserve">第五章 </w:t>
      </w:r>
      <w:r>
        <w:rPr>
          <w:rFonts w:ascii="Times New Roman" w:hAnsi="Times New Roman" w:eastAsia="宋体" w:cs="Times New Roman"/>
          <w:highlight w:val="none"/>
        </w:rPr>
        <w:t>采购需求及清单</w:t>
      </w:r>
      <w:bookmarkEnd w:id="162"/>
    </w:p>
    <w:p>
      <w:pPr>
        <w:pStyle w:val="5"/>
        <w:numPr>
          <w:ilvl w:val="0"/>
          <w:numId w:val="0"/>
        </w:numPr>
        <w:snapToGrid w:val="0"/>
        <w:spacing w:before="120" w:after="120" w:line="240" w:lineRule="auto"/>
        <w:ind w:left="420"/>
        <w:rPr>
          <w:rFonts w:hint="eastAsia" w:ascii="Times New Roman" w:hAnsi="Times New Roman" w:cs="Times New Roman"/>
          <w:highlight w:val="none"/>
        </w:rPr>
      </w:pPr>
      <w:bookmarkStart w:id="163" w:name="_Toc10970_WPSOffice_Level1"/>
      <w:bookmarkStart w:id="164" w:name="_Toc28814_WPSOffice_Level2"/>
      <w:r>
        <w:rPr>
          <w:rFonts w:hint="eastAsia" w:ascii="Times New Roman" w:hAnsi="Times New Roman" w:cs="Times New Roman"/>
          <w:highlight w:val="none"/>
        </w:rPr>
        <w:t>1.</w:t>
      </w:r>
      <w:bookmarkEnd w:id="163"/>
      <w:r>
        <w:rPr>
          <w:rFonts w:hint="eastAsia" w:ascii="Times New Roman" w:hAnsi="Times New Roman" w:cs="Times New Roman"/>
          <w:highlight w:val="none"/>
        </w:rPr>
        <w:t xml:space="preserve"> 采购</w:t>
      </w:r>
      <w:r>
        <w:rPr>
          <w:rFonts w:hint="eastAsia" w:ascii="Times New Roman" w:hAnsi="Times New Roman" w:cs="Times New Roman"/>
          <w:highlight w:val="none"/>
          <w:lang w:val="en-US" w:eastAsia="zh-CN"/>
        </w:rPr>
        <w:t>需求</w:t>
      </w:r>
      <w:r>
        <w:rPr>
          <w:rFonts w:hint="eastAsia" w:ascii="Times New Roman" w:hAnsi="Times New Roman" w:cs="Times New Roman"/>
          <w:highlight w:val="none"/>
        </w:rPr>
        <w:t>：</w:t>
      </w:r>
    </w:p>
    <w:p>
      <w:pPr>
        <w:pStyle w:val="5"/>
        <w:numPr>
          <w:ilvl w:val="0"/>
          <w:numId w:val="0"/>
        </w:numPr>
        <w:snapToGrid w:val="0"/>
        <w:spacing w:before="120" w:after="120" w:line="560" w:lineRule="exact"/>
        <w:ind w:firstLine="420" w:firstLineChars="200"/>
        <w:rPr>
          <w:rFonts w:hint="default" w:ascii="Times New Roman" w:hAnsi="Times New Roman" w:eastAsia="宋体" w:cs="Times New Roman"/>
          <w:b w:val="0"/>
          <w:bCs w:val="0"/>
          <w:sz w:val="21"/>
          <w:szCs w:val="21"/>
          <w:highlight w:val="none"/>
          <w:lang w:val="en-US" w:eastAsia="zh-CN"/>
        </w:rPr>
      </w:pPr>
      <w:bookmarkStart w:id="165" w:name="_Toc8777_WPSOffice_Level1"/>
      <w:r>
        <w:rPr>
          <w:rFonts w:hint="eastAsia" w:ascii="Times New Roman" w:hAnsi="Times New Roman" w:cs="Times New Roman"/>
          <w:b w:val="0"/>
          <w:bCs w:val="0"/>
          <w:sz w:val="21"/>
          <w:szCs w:val="21"/>
          <w:highlight w:val="none"/>
        </w:rPr>
        <w:t>工作内容包括但不限于住宅小区智慧泵房研究及应用</w:t>
      </w:r>
      <w:r>
        <w:rPr>
          <w:rFonts w:hint="eastAsia" w:ascii="Times New Roman" w:hAnsi="Times New Roman" w:cs="Times New Roman"/>
          <w:b w:val="0"/>
          <w:bCs w:val="0"/>
          <w:sz w:val="21"/>
          <w:szCs w:val="21"/>
          <w:highlight w:val="none"/>
          <w:lang w:eastAsia="zh-CN"/>
        </w:rPr>
        <w:t>，</w:t>
      </w:r>
      <w:r>
        <w:rPr>
          <w:rFonts w:hint="eastAsia" w:ascii="Times New Roman" w:hAnsi="Times New Roman" w:cs="Times New Roman"/>
          <w:b w:val="0"/>
          <w:bCs w:val="0"/>
          <w:sz w:val="21"/>
          <w:szCs w:val="21"/>
          <w:highlight w:val="none"/>
          <w:lang w:val="en-US" w:eastAsia="zh-CN"/>
        </w:rPr>
        <w:t>具体要求详见询比文件及合同。</w:t>
      </w:r>
    </w:p>
    <w:p>
      <w:pPr>
        <w:pStyle w:val="5"/>
        <w:numPr>
          <w:ilvl w:val="0"/>
          <w:numId w:val="0"/>
        </w:numPr>
        <w:snapToGrid w:val="0"/>
        <w:spacing w:before="120" w:after="120" w:line="240" w:lineRule="auto"/>
        <w:ind w:left="42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.报价清单</w:t>
      </w:r>
      <w:bookmarkEnd w:id="164"/>
      <w:bookmarkEnd w:id="165"/>
    </w:p>
    <w:tbl>
      <w:tblPr>
        <w:tblStyle w:val="25"/>
        <w:tblW w:w="9870" w:type="dxa"/>
        <w:jc w:val="center"/>
        <w:tblLayout w:type="autofit"/>
        <w:tblCellMar>
          <w:top w:w="15" w:type="dxa"/>
          <w:left w:w="108" w:type="dxa"/>
          <w:bottom w:w="0" w:type="dxa"/>
          <w:right w:w="108" w:type="dxa"/>
        </w:tblCellMar>
      </w:tblPr>
      <w:tblGrid>
        <w:gridCol w:w="620"/>
        <w:gridCol w:w="2636"/>
        <w:gridCol w:w="2268"/>
        <w:gridCol w:w="1275"/>
        <w:gridCol w:w="1418"/>
        <w:gridCol w:w="1417"/>
        <w:gridCol w:w="236"/>
      </w:tblGrid>
      <w:tr>
        <w:tblPrEx>
          <w:tblCellMar>
            <w:top w:w="15" w:type="dxa"/>
            <w:left w:w="108" w:type="dxa"/>
            <w:bottom w:w="0" w:type="dxa"/>
            <w:right w:w="108" w:type="dxa"/>
          </w:tblCellMar>
        </w:tblPrEx>
        <w:trPr>
          <w:gridAfter w:val="1"/>
          <w:wAfter w:w="236" w:type="dxa"/>
          <w:trHeight w:val="280" w:hRule="atLeast"/>
          <w:jc w:val="center"/>
        </w:trPr>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序号</w:t>
            </w:r>
          </w:p>
        </w:tc>
        <w:tc>
          <w:tcPr>
            <w:tcW w:w="2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工作内容</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工作成果</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计量单位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数量</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服务报价（元）</w:t>
            </w:r>
          </w:p>
        </w:tc>
      </w:tr>
      <w:tr>
        <w:tblPrEx>
          <w:tblCellMar>
            <w:top w:w="15" w:type="dxa"/>
            <w:left w:w="108" w:type="dxa"/>
            <w:bottom w:w="0" w:type="dxa"/>
            <w:right w:w="108" w:type="dxa"/>
          </w:tblCellMar>
        </w:tblPrEx>
        <w:trPr>
          <w:gridAfter w:val="1"/>
          <w:wAfter w:w="236" w:type="dxa"/>
          <w:trHeight w:val="196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1</w:t>
            </w:r>
          </w:p>
        </w:tc>
        <w:tc>
          <w:tcPr>
            <w:tcW w:w="263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Times New Roman" w:hAnsi="Times New Roman" w:cs="Times New Roman"/>
                <w:b w:val="0"/>
                <w:bCs w:val="0"/>
                <w:sz w:val="21"/>
                <w:szCs w:val="21"/>
                <w:highlight w:val="none"/>
              </w:rPr>
              <w:t>住宅小区智慧泵房研究及应用</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highlight w:val="none"/>
                <w:lang w:eastAsia="zh-CN"/>
              </w:rPr>
            </w:pPr>
            <w:r>
              <w:rPr>
                <w:rFonts w:hint="eastAsia" w:ascii="等线" w:hAnsi="等线" w:eastAsia="等线" w:cs="宋体"/>
                <w:color w:val="000000"/>
                <w:kern w:val="0"/>
                <w:sz w:val="22"/>
                <w:szCs w:val="22"/>
                <w:highlight w:val="none"/>
              </w:rPr>
              <w:t>1）论文 1 篇，在带有刊号的正式期刊发表；</w:t>
            </w:r>
          </w:p>
          <w:p>
            <w:pPr>
              <w:widowControl/>
              <w:jc w:val="center"/>
              <w:rPr>
                <w:rFonts w:hint="eastAsia" w:ascii="等线" w:hAnsi="等线" w:eastAsia="等线" w:cs="宋体"/>
                <w:color w:val="000000"/>
                <w:kern w:val="0"/>
                <w:sz w:val="22"/>
                <w:szCs w:val="22"/>
                <w:highlight w:val="none"/>
                <w:lang w:eastAsia="zh-CN"/>
              </w:rPr>
            </w:pPr>
            <w:r>
              <w:rPr>
                <w:rFonts w:hint="eastAsia" w:ascii="等线" w:hAnsi="等线" w:eastAsia="等线" w:cs="宋体"/>
                <w:color w:val="000000"/>
                <w:kern w:val="0"/>
                <w:sz w:val="22"/>
                <w:szCs w:val="22"/>
                <w:highlight w:val="none"/>
              </w:rPr>
              <w:t>2）</w:t>
            </w:r>
            <w:r>
              <w:rPr>
                <w:rFonts w:hint="eastAsia" w:ascii="等线" w:hAnsi="等线" w:eastAsia="等线" w:cs="宋体"/>
                <w:color w:val="000000"/>
                <w:kern w:val="0"/>
                <w:sz w:val="22"/>
                <w:szCs w:val="22"/>
                <w:highlight w:val="none"/>
                <w:lang w:val="en-US" w:eastAsia="zh-CN"/>
              </w:rPr>
              <w:t>咨询服务</w:t>
            </w:r>
            <w:r>
              <w:rPr>
                <w:rFonts w:hint="eastAsia" w:ascii="等线" w:hAnsi="等线" w:eastAsia="等线" w:cs="宋体"/>
                <w:color w:val="000000"/>
                <w:kern w:val="0"/>
                <w:sz w:val="22"/>
                <w:szCs w:val="22"/>
                <w:highlight w:val="none"/>
                <w:lang w:eastAsia="zh-CN"/>
              </w:rPr>
              <w:t>。</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不含税总计（元）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税金（元）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含税总计（元）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312" w:hRule="atLeast"/>
          <w:jc w:val="center"/>
        </w:trPr>
        <w:tc>
          <w:tcPr>
            <w:tcW w:w="9634" w:type="dxa"/>
            <w:gridSpan w:val="6"/>
            <w:vMerge w:val="restart"/>
            <w:tcBorders>
              <w:top w:val="single" w:color="auto" w:sz="4" w:space="0"/>
              <w:left w:val="nil"/>
              <w:bottom w:val="nil"/>
              <w:right w:val="nil"/>
            </w:tcBorders>
            <w:shd w:val="clear" w:color="auto" w:fill="auto"/>
            <w:vAlign w:val="center"/>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备注：1、本报价采取固定总价报价，税率6%。合同签订后的固定总价将不以市场人工、物价上涨而变化。以上固定总价已包含但不限于合同约定的所有服务的费用及配合费用（包括但不限于劳务费、应缴纳的税费、为完成本科技项目工作所需的行政、通讯费用、工作人员的薪金、奖金、福利、交通、食宿、加班以及到现场人员差旅食宿费等所有费用）。</w:t>
            </w: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等线" w:hAnsi="等线" w:eastAsia="等线" w:cs="宋体"/>
                <w:color w:val="000000"/>
                <w:kern w:val="0"/>
                <w:sz w:val="22"/>
                <w:szCs w:val="22"/>
                <w:highlight w:val="none"/>
              </w:rPr>
            </w:pP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highlight w:val="none"/>
              </w:rPr>
            </w:pP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highlight w:val="none"/>
              </w:rPr>
            </w:pPr>
          </w:p>
        </w:tc>
      </w:tr>
    </w:tbl>
    <w:p>
      <w:pPr>
        <w:rPr>
          <w:rFonts w:ascii="Times New Roman" w:hAnsi="Times New Roman" w:cs="Times New Roman"/>
          <w:highlight w:val="none"/>
        </w:rPr>
      </w:pPr>
    </w:p>
    <w:p>
      <w:pPr>
        <w:pageBreakBefore w:val="0"/>
        <w:kinsoku/>
        <w:overflowPunct/>
        <w:topLinePunct w:val="0"/>
        <w:bidi w:val="0"/>
        <w:snapToGrid/>
        <w:spacing w:line="560" w:lineRule="exact"/>
        <w:ind w:left="0" w:leftChars="0"/>
        <w:jc w:val="both"/>
        <w:textAlignment w:val="auto"/>
        <w:rPr>
          <w:rFonts w:ascii="Times New Roman" w:hAnsi="Times New Roman" w:eastAsia="宋体" w:cs="Times New Roman"/>
          <w:highlight w:val="none"/>
        </w:rPr>
      </w:pPr>
      <w:r>
        <w:rPr>
          <w:rFonts w:ascii="Times New Roman" w:hAnsi="Times New Roman" w:eastAsia="宋体" w:cs="Times New Roman"/>
          <w:highlight w:val="none"/>
        </w:rPr>
        <w:br w:type="page"/>
      </w:r>
    </w:p>
    <w:p>
      <w:pPr>
        <w:pStyle w:val="4"/>
        <w:numPr>
          <w:ilvl w:val="0"/>
          <w:numId w:val="0"/>
        </w:numPr>
        <w:spacing w:before="312" w:after="312"/>
        <w:ind w:left="402" w:leftChars="0"/>
        <w:rPr>
          <w:rFonts w:ascii="Times New Roman" w:hAnsi="Times New Roman" w:eastAsia="宋体" w:cs="Times New Roman"/>
          <w:highlight w:val="none"/>
        </w:rPr>
      </w:pPr>
      <w:bookmarkStart w:id="166" w:name="_Toc27766_WPSOffice_Level1"/>
      <w:r>
        <w:rPr>
          <w:rFonts w:hint="eastAsia" w:ascii="Times New Roman" w:hAnsi="Times New Roman" w:eastAsia="宋体" w:cs="Times New Roman"/>
          <w:highlight w:val="none"/>
          <w:lang w:val="en-US" w:eastAsia="zh-CN"/>
        </w:rPr>
        <w:t xml:space="preserve">第六章 </w:t>
      </w:r>
      <w:r>
        <w:rPr>
          <w:rFonts w:ascii="Times New Roman" w:hAnsi="Times New Roman" w:eastAsia="宋体" w:cs="Times New Roman"/>
          <w:highlight w:val="none"/>
        </w:rPr>
        <w:t>响应文件格式</w:t>
      </w:r>
      <w:bookmarkEnd w:id="166"/>
    </w:p>
    <w:p>
      <w:pPr>
        <w:rPr>
          <w:rFonts w:ascii="Times New Roman" w:hAnsi="Times New Roman" w:eastAsia="宋体" w:cs="Times New Roman"/>
          <w:highlight w:val="none"/>
        </w:rPr>
      </w:pPr>
      <w:r>
        <w:rPr>
          <w:rFonts w:ascii="Times New Roman" w:hAnsi="Times New Roman" w:eastAsia="宋体" w:cs="Times New Roman"/>
          <w:highlight w:val="none"/>
        </w:rPr>
        <w:br w:type="page"/>
      </w:r>
    </w:p>
    <w:p>
      <w:pPr>
        <w:spacing w:line="440" w:lineRule="exact"/>
        <w:jc w:val="center"/>
        <w:rPr>
          <w:rFonts w:hint="eastAsia" w:ascii="Times New Roman" w:hAnsi="Times New Roman" w:eastAsia="黑体" w:cs="Times New Roman"/>
          <w:sz w:val="32"/>
          <w:szCs w:val="32"/>
          <w:highlight w:val="none"/>
        </w:rPr>
      </w:pPr>
    </w:p>
    <w:p>
      <w:pPr>
        <w:spacing w:line="440" w:lineRule="exact"/>
        <w:jc w:val="center"/>
        <w:rPr>
          <w:rFonts w:hint="eastAsia" w:ascii="Times New Roman" w:hAnsi="Times New Roman" w:eastAsia="黑体" w:cs="Times New Roman"/>
          <w:sz w:val="32"/>
          <w:szCs w:val="32"/>
          <w:highlight w:val="none"/>
        </w:rPr>
      </w:pPr>
    </w:p>
    <w:p>
      <w:pPr>
        <w:spacing w:line="440" w:lineRule="exact"/>
        <w:jc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深圳安联尚璟府项目智慧泵房研究及应用服务</w:t>
      </w:r>
      <w:r>
        <w:rPr>
          <w:rFonts w:ascii="Times New Roman" w:hAnsi="Times New Roman" w:eastAsia="黑体" w:cs="Times New Roman"/>
          <w:sz w:val="32"/>
          <w:szCs w:val="32"/>
          <w:highlight w:val="none"/>
        </w:rPr>
        <w:t>合同包询比</w:t>
      </w:r>
    </w:p>
    <w:p>
      <w:pPr>
        <w:spacing w:line="440" w:lineRule="exact"/>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 xml:space="preserve"> </w:t>
      </w:r>
    </w:p>
    <w:p>
      <w:pPr>
        <w:spacing w:line="440" w:lineRule="exact"/>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jc w:val="center"/>
        <w:rPr>
          <w:rFonts w:ascii="Times New Roman" w:hAnsi="Times New Roman" w:eastAsia="黑体" w:cs="Times New Roman"/>
          <w:sz w:val="50"/>
          <w:szCs w:val="50"/>
          <w:highlight w:val="none"/>
        </w:rPr>
      </w:pPr>
      <w:bookmarkStart w:id="167" w:name="_Toc1456_WPSOffice_Level1"/>
      <w:bookmarkStart w:id="168" w:name="_Toc27552_WPSOffice_Level1"/>
      <w:bookmarkStart w:id="169" w:name="_Toc14496_WPSOffice_Level1"/>
      <w:bookmarkStart w:id="170" w:name="_Toc1914_WPSOffice_Level1"/>
      <w:bookmarkStart w:id="171" w:name="_Toc17394_WPSOffice_Level1"/>
      <w:r>
        <w:rPr>
          <w:rFonts w:ascii="Times New Roman" w:hAnsi="Times New Roman" w:eastAsia="黑体" w:cs="Times New Roman"/>
          <w:sz w:val="50"/>
          <w:szCs w:val="50"/>
          <w:highlight w:val="none"/>
        </w:rPr>
        <w:t>响  应  文  件</w:t>
      </w:r>
      <w:bookmarkEnd w:id="167"/>
      <w:bookmarkEnd w:id="168"/>
      <w:bookmarkEnd w:id="169"/>
      <w:bookmarkEnd w:id="170"/>
      <w:bookmarkEnd w:id="171"/>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172" w:name="_Toc5520_WPSOffice_Level2"/>
      <w:bookmarkStart w:id="173" w:name="_Toc25232_WPSOffice_Level2"/>
      <w:r>
        <w:rPr>
          <w:rFonts w:ascii="Times New Roman" w:hAnsi="Times New Roman" w:eastAsia="黑体" w:cs="Times New Roman"/>
          <w:sz w:val="28"/>
          <w:szCs w:val="28"/>
          <w:highlight w:val="none"/>
        </w:rPr>
        <w:t>供应商：</w:t>
      </w:r>
      <w:r>
        <w:rPr>
          <w:rFonts w:ascii="Times New Roman" w:hAnsi="Times New Roman" w:eastAsia="黑体" w:cs="Times New Roman"/>
          <w:sz w:val="28"/>
          <w:szCs w:val="28"/>
          <w:highlight w:val="none"/>
          <w:u w:val="single"/>
        </w:rPr>
        <w:t xml:space="preserve">            (全称、盖单位章)</w:t>
      </w:r>
      <w:bookmarkEnd w:id="172"/>
      <w:bookmarkEnd w:id="173"/>
      <w:r>
        <w:rPr>
          <w:rFonts w:ascii="Times New Roman" w:hAnsi="Times New Roman" w:eastAsia="黑体" w:cs="Times New Roman"/>
          <w:sz w:val="28"/>
          <w:szCs w:val="28"/>
          <w:highlight w:val="none"/>
          <w:u w:val="single"/>
        </w:rPr>
        <w:t xml:space="preserve">           </w:t>
      </w:r>
    </w:p>
    <w:p>
      <w:pPr>
        <w:spacing w:line="440" w:lineRule="exact"/>
        <w:ind w:firstLine="2158" w:firstLineChars="771"/>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u w:val="single"/>
        </w:rPr>
        <w:t xml:space="preserve">          </w:t>
      </w:r>
      <w:bookmarkStart w:id="174" w:name="_Toc20076_WPSOffice_Level2"/>
      <w:bookmarkStart w:id="175" w:name="_Toc31577_WPSOffice_Level2"/>
      <w:r>
        <w:rPr>
          <w:rFonts w:ascii="Times New Roman" w:hAnsi="Times New Roman" w:eastAsia="黑体" w:cs="Times New Roman"/>
          <w:sz w:val="28"/>
          <w:szCs w:val="28"/>
          <w:highlight w:val="none"/>
        </w:rPr>
        <w:t>年</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月</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日</w:t>
      </w:r>
      <w:bookmarkEnd w:id="174"/>
      <w:bookmarkEnd w:id="175"/>
    </w:p>
    <w:p>
      <w:pPr>
        <w:spacing w:line="440" w:lineRule="exact"/>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176" w:name="_Toc21974_WPSOffice_Level2"/>
      <w:bookmarkStart w:id="177" w:name="_Toc22351_WPSOffice_Level2"/>
      <w:r>
        <w:rPr>
          <w:rFonts w:ascii="Times New Roman" w:hAnsi="Times New Roman" w:eastAsia="黑体" w:cs="Times New Roman"/>
          <w:sz w:val="28"/>
          <w:szCs w:val="28"/>
          <w:highlight w:val="none"/>
        </w:rPr>
        <w:t>目     录</w:t>
      </w:r>
      <w:bookmarkEnd w:id="176"/>
      <w:bookmarkEnd w:id="177"/>
    </w:p>
    <w:p>
      <w:pPr>
        <w:spacing w:line="440" w:lineRule="exact"/>
        <w:rPr>
          <w:rFonts w:ascii="Times New Roman" w:hAnsi="Times New Roman" w:eastAsia="黑体" w:cs="Times New Roman"/>
          <w:sz w:val="20"/>
          <w:szCs w:val="20"/>
          <w:highlight w:val="none"/>
        </w:rPr>
      </w:pPr>
    </w:p>
    <w:p>
      <w:pPr>
        <w:spacing w:line="440" w:lineRule="exact"/>
        <w:ind w:left="1619" w:leftChars="771"/>
        <w:rPr>
          <w:rFonts w:ascii="Times New Roman" w:hAnsi="Times New Roman" w:eastAsia="黑体" w:cs="Times New Roman"/>
          <w:sz w:val="24"/>
          <w:highlight w:val="none"/>
        </w:rPr>
      </w:pPr>
      <w:bookmarkStart w:id="178" w:name="_Toc6353_WPSOffice_Level1"/>
      <w:bookmarkStart w:id="179" w:name="_Toc30529_WPSOffice_Level1"/>
      <w:bookmarkStart w:id="180" w:name="_Toc11424_WPSOffice_Level1"/>
      <w:bookmarkStart w:id="181" w:name="_Toc23368_WPSOffice_Level1"/>
      <w:bookmarkStart w:id="182" w:name="_Toc27094_WPSOffice_Level1"/>
      <w:bookmarkStart w:id="183" w:name="_Toc12670_WPSOffice_Level1"/>
      <w:r>
        <w:rPr>
          <w:rFonts w:ascii="Times New Roman" w:hAnsi="Times New Roman" w:eastAsia="黑体" w:cs="Times New Roman"/>
          <w:sz w:val="24"/>
          <w:highlight w:val="none"/>
        </w:rPr>
        <w:t>一、报价函</w:t>
      </w:r>
      <w:bookmarkEnd w:id="178"/>
      <w:bookmarkEnd w:id="179"/>
      <w:bookmarkEnd w:id="180"/>
      <w:bookmarkEnd w:id="181"/>
      <w:bookmarkEnd w:id="182"/>
    </w:p>
    <w:p>
      <w:pPr>
        <w:spacing w:line="440" w:lineRule="exact"/>
        <w:ind w:left="1619" w:leftChars="771"/>
        <w:rPr>
          <w:rFonts w:ascii="Times New Roman" w:hAnsi="Times New Roman" w:eastAsia="黑体" w:cs="Times New Roman"/>
          <w:sz w:val="24"/>
          <w:highlight w:val="none"/>
        </w:rPr>
      </w:pPr>
      <w:bookmarkStart w:id="184" w:name="_Toc25557_WPSOffice_Level1"/>
      <w:bookmarkStart w:id="185" w:name="_Toc31927_WPSOffice_Level1"/>
      <w:bookmarkStart w:id="186" w:name="_Toc32729_WPSOffice_Level1"/>
      <w:bookmarkStart w:id="187" w:name="_Toc21229_WPSOffice_Level1"/>
      <w:bookmarkStart w:id="188" w:name="_Toc5317_WPSOffice_Level1"/>
      <w:r>
        <w:rPr>
          <w:rFonts w:ascii="Times New Roman" w:hAnsi="Times New Roman" w:eastAsia="黑体" w:cs="Times New Roman"/>
          <w:sz w:val="24"/>
          <w:highlight w:val="none"/>
        </w:rPr>
        <w:t>二、法定代表人身份证明及授权委托书</w:t>
      </w:r>
      <w:bookmarkEnd w:id="184"/>
      <w:bookmarkEnd w:id="185"/>
      <w:bookmarkEnd w:id="186"/>
      <w:bookmarkEnd w:id="187"/>
      <w:bookmarkEnd w:id="188"/>
    </w:p>
    <w:p>
      <w:pPr>
        <w:spacing w:line="440" w:lineRule="exact"/>
        <w:ind w:left="1619" w:leftChars="771"/>
        <w:rPr>
          <w:rFonts w:hint="eastAsia" w:ascii="Times New Roman" w:hAnsi="Times New Roman" w:eastAsia="黑体" w:cs="Times New Roman"/>
          <w:sz w:val="24"/>
          <w:highlight w:val="none"/>
          <w:lang w:val="en-US" w:eastAsia="zh-CN"/>
        </w:rPr>
      </w:pPr>
      <w:bookmarkStart w:id="189" w:name="_Toc23356_WPSOffice_Level1"/>
      <w:bookmarkStart w:id="190" w:name="_Toc29085_WPSOffice_Level1"/>
      <w:bookmarkStart w:id="191" w:name="_Toc25965_WPSOffice_Level1"/>
      <w:bookmarkStart w:id="192" w:name="_Toc8372_WPSOffice_Level1"/>
      <w:bookmarkStart w:id="193" w:name="_Toc4728_WPSOffice_Level1"/>
      <w:r>
        <w:rPr>
          <w:rFonts w:hint="eastAsia" w:ascii="Times New Roman" w:hAnsi="Times New Roman" w:eastAsia="黑体" w:cs="Times New Roman"/>
          <w:sz w:val="24"/>
          <w:highlight w:val="none"/>
        </w:rPr>
        <w:t>三</w:t>
      </w:r>
      <w:r>
        <w:rPr>
          <w:rFonts w:ascii="Times New Roman" w:hAnsi="Times New Roman" w:eastAsia="黑体" w:cs="Times New Roman"/>
          <w:sz w:val="24"/>
          <w:highlight w:val="none"/>
        </w:rPr>
        <w:t>、</w:t>
      </w:r>
      <w:bookmarkEnd w:id="189"/>
      <w:bookmarkEnd w:id="190"/>
      <w:bookmarkEnd w:id="191"/>
      <w:bookmarkEnd w:id="192"/>
      <w:bookmarkEnd w:id="193"/>
      <w:bookmarkStart w:id="194" w:name="_Toc7453_WPSOffice_Level1"/>
      <w:bookmarkStart w:id="195" w:name="_Toc10608_WPSOffice_Level1"/>
      <w:bookmarkStart w:id="196" w:name="_Toc18964_WPSOffice_Level1"/>
      <w:bookmarkStart w:id="197" w:name="_Toc23744_WPSOffice_Level1"/>
      <w:bookmarkStart w:id="198" w:name="_Toc20214_WPSOffice_Level1"/>
      <w:r>
        <w:rPr>
          <w:rFonts w:hint="eastAsia" w:ascii="Times New Roman" w:hAnsi="Times New Roman" w:eastAsia="黑体" w:cs="Times New Roman"/>
          <w:sz w:val="24"/>
          <w:highlight w:val="none"/>
          <w:lang w:val="en-US" w:eastAsia="zh-CN"/>
        </w:rPr>
        <w:t>已标价的报价清单</w:t>
      </w:r>
    </w:p>
    <w:p>
      <w:pPr>
        <w:spacing w:line="440" w:lineRule="exact"/>
        <w:ind w:left="1619" w:leftChars="771"/>
        <w:rPr>
          <w:rFonts w:ascii="Times New Roman" w:hAnsi="Times New Roman" w:eastAsia="黑体" w:cs="Times New Roman"/>
          <w:sz w:val="24"/>
          <w:highlight w:val="none"/>
        </w:rPr>
      </w:pPr>
      <w:r>
        <w:rPr>
          <w:rFonts w:hint="eastAsia" w:ascii="Times New Roman" w:hAnsi="Times New Roman" w:eastAsia="黑体" w:cs="Times New Roman"/>
          <w:sz w:val="24"/>
          <w:highlight w:val="none"/>
        </w:rPr>
        <w:t>四</w:t>
      </w:r>
      <w:r>
        <w:rPr>
          <w:rFonts w:ascii="Times New Roman" w:hAnsi="Times New Roman" w:eastAsia="黑体" w:cs="Times New Roman"/>
          <w:sz w:val="24"/>
          <w:highlight w:val="none"/>
        </w:rPr>
        <w:t>、</w:t>
      </w:r>
      <w:bookmarkEnd w:id="194"/>
      <w:bookmarkEnd w:id="195"/>
      <w:bookmarkEnd w:id="196"/>
      <w:bookmarkEnd w:id="197"/>
      <w:r>
        <w:rPr>
          <w:rFonts w:hint="eastAsia" w:ascii="Times New Roman" w:hAnsi="Times New Roman" w:eastAsia="黑体" w:cs="Times New Roman"/>
          <w:sz w:val="24"/>
          <w:highlight w:val="none"/>
        </w:rPr>
        <w:t>供应商基本情况</w:t>
      </w:r>
      <w:bookmarkEnd w:id="198"/>
    </w:p>
    <w:p>
      <w:pPr>
        <w:spacing w:line="440" w:lineRule="exact"/>
        <w:ind w:left="1619" w:leftChars="771"/>
        <w:rPr>
          <w:rFonts w:ascii="Times New Roman" w:hAnsi="Times New Roman" w:eastAsia="黑体" w:cs="Times New Roman"/>
          <w:sz w:val="24"/>
          <w:highlight w:val="none"/>
        </w:rPr>
      </w:pPr>
      <w:bookmarkStart w:id="199" w:name="_Toc9006_WPSOffice_Level1"/>
      <w:bookmarkStart w:id="200" w:name="_Toc23751_WPSOffice_Level1"/>
      <w:bookmarkStart w:id="201" w:name="_Toc19601_WPSOffice_Level1"/>
      <w:bookmarkStart w:id="202" w:name="_Toc1578_WPSOffice_Level1"/>
      <w:bookmarkStart w:id="203" w:name="_Toc9536_WPSOffice_Level1"/>
      <w:r>
        <w:rPr>
          <w:rFonts w:hint="eastAsia" w:ascii="Times New Roman" w:hAnsi="Times New Roman" w:eastAsia="黑体" w:cs="Times New Roman"/>
          <w:sz w:val="24"/>
          <w:highlight w:val="none"/>
        </w:rPr>
        <w:t>五、</w:t>
      </w:r>
      <w:bookmarkEnd w:id="199"/>
      <w:bookmarkEnd w:id="200"/>
      <w:bookmarkEnd w:id="201"/>
      <w:bookmarkEnd w:id="202"/>
      <w:r>
        <w:rPr>
          <w:rFonts w:hint="eastAsia" w:ascii="Times New Roman" w:hAnsi="Times New Roman" w:eastAsia="黑体" w:cs="Times New Roman"/>
          <w:sz w:val="24"/>
          <w:highlight w:val="none"/>
        </w:rPr>
        <w:t>近年类似业绩情况</w:t>
      </w:r>
      <w:bookmarkEnd w:id="203"/>
    </w:p>
    <w:p>
      <w:pPr>
        <w:spacing w:line="440" w:lineRule="exact"/>
        <w:ind w:left="1619" w:leftChars="771"/>
        <w:rPr>
          <w:rFonts w:ascii="Times New Roman" w:hAnsi="Times New Roman" w:eastAsia="黑体" w:cs="Times New Roman"/>
          <w:sz w:val="24"/>
          <w:highlight w:val="none"/>
        </w:rPr>
      </w:pPr>
      <w:bookmarkStart w:id="204" w:name="_Toc31314_WPSOffice_Level1"/>
      <w:bookmarkStart w:id="205" w:name="_Toc24082_WPSOffice_Level1"/>
      <w:bookmarkStart w:id="206" w:name="_Toc4130_WPSOffice_Level1"/>
      <w:bookmarkStart w:id="207" w:name="_Toc12459_WPSOffice_Level1"/>
      <w:bookmarkStart w:id="208" w:name="_Toc24262_WPSOffice_Level1"/>
      <w:r>
        <w:rPr>
          <w:rFonts w:hint="eastAsia" w:ascii="Times New Roman" w:hAnsi="Times New Roman" w:eastAsia="黑体" w:cs="Times New Roman"/>
          <w:sz w:val="24"/>
          <w:highlight w:val="none"/>
        </w:rPr>
        <w:t>六</w:t>
      </w:r>
      <w:r>
        <w:rPr>
          <w:rFonts w:ascii="Times New Roman" w:hAnsi="Times New Roman" w:eastAsia="黑体" w:cs="Times New Roman"/>
          <w:sz w:val="24"/>
          <w:highlight w:val="none"/>
        </w:rPr>
        <w:t>、</w:t>
      </w:r>
      <w:bookmarkEnd w:id="204"/>
      <w:bookmarkEnd w:id="205"/>
      <w:r>
        <w:rPr>
          <w:rFonts w:hint="eastAsia" w:ascii="Times New Roman" w:hAnsi="Times New Roman" w:eastAsia="黑体" w:cs="Times New Roman"/>
          <w:sz w:val="24"/>
          <w:highlight w:val="none"/>
        </w:rPr>
        <w:t>拟委任的主要人员</w:t>
      </w:r>
      <w:bookmarkEnd w:id="206"/>
    </w:p>
    <w:p>
      <w:pPr>
        <w:spacing w:line="440" w:lineRule="exact"/>
        <w:ind w:left="1619" w:leftChars="771"/>
        <w:rPr>
          <w:rFonts w:ascii="Times New Roman" w:hAnsi="Times New Roman" w:eastAsia="黑体" w:cs="Times New Roman"/>
          <w:sz w:val="24"/>
          <w:highlight w:val="none"/>
        </w:rPr>
      </w:pPr>
      <w:bookmarkStart w:id="209" w:name="_Toc32220_WPSOffice_Level1"/>
      <w:bookmarkStart w:id="210" w:name="_Toc20930_WPSOffice_Level1"/>
      <w:bookmarkStart w:id="211" w:name="_Toc4968_WPSOffice_Level1"/>
      <w:r>
        <w:rPr>
          <w:rFonts w:hint="eastAsia" w:ascii="Times New Roman" w:hAnsi="Times New Roman" w:eastAsia="黑体" w:cs="Times New Roman"/>
          <w:sz w:val="24"/>
          <w:highlight w:val="none"/>
        </w:rPr>
        <w:t>七</w:t>
      </w:r>
      <w:bookmarkEnd w:id="207"/>
      <w:bookmarkEnd w:id="208"/>
      <w:bookmarkEnd w:id="209"/>
      <w:bookmarkEnd w:id="210"/>
      <w:bookmarkStart w:id="212" w:name="_Toc27403_WPSOffice_Level1"/>
      <w:bookmarkStart w:id="213" w:name="_Toc30273_WPSOffice_Level1"/>
      <w:bookmarkStart w:id="214" w:name="_Toc32648_WPSOffice_Level1"/>
      <w:bookmarkStart w:id="215" w:name="_Toc25804_WPSOffice_Level1"/>
      <w:r>
        <w:rPr>
          <w:rFonts w:ascii="Times New Roman" w:hAnsi="Times New Roman" w:eastAsia="黑体" w:cs="Times New Roman"/>
          <w:sz w:val="24"/>
          <w:highlight w:val="none"/>
        </w:rPr>
        <w:t>、</w:t>
      </w:r>
      <w:bookmarkEnd w:id="212"/>
      <w:bookmarkEnd w:id="213"/>
      <w:bookmarkEnd w:id="214"/>
      <w:bookmarkEnd w:id="215"/>
      <w:r>
        <w:rPr>
          <w:rFonts w:hint="eastAsia" w:ascii="Times New Roman" w:hAnsi="Times New Roman" w:eastAsia="黑体" w:cs="Times New Roman"/>
          <w:sz w:val="24"/>
          <w:highlight w:val="none"/>
        </w:rPr>
        <w:t>信誉情况</w:t>
      </w:r>
      <w:bookmarkEnd w:id="211"/>
    </w:p>
    <w:p>
      <w:pPr>
        <w:spacing w:line="440" w:lineRule="exact"/>
        <w:ind w:left="1619" w:leftChars="771"/>
        <w:rPr>
          <w:rFonts w:ascii="Times New Roman" w:hAnsi="Times New Roman" w:eastAsia="黑体" w:cs="Times New Roman"/>
          <w:sz w:val="24"/>
          <w:highlight w:val="none"/>
        </w:rPr>
      </w:pPr>
      <w:bookmarkStart w:id="216" w:name="_Toc23147_WPSOffice_Level1"/>
      <w:bookmarkStart w:id="217" w:name="_Toc4051_WPSOffice_Level1"/>
      <w:bookmarkStart w:id="218" w:name="_Toc30234_WPSOffice_Level1"/>
      <w:bookmarkStart w:id="219" w:name="_Toc32152_WPSOffice_Level1"/>
      <w:bookmarkStart w:id="220" w:name="_Toc22085_WPSOffice_Level1"/>
      <w:r>
        <w:rPr>
          <w:rFonts w:hint="eastAsia" w:ascii="Times New Roman" w:hAnsi="Times New Roman" w:eastAsia="黑体" w:cs="Times New Roman"/>
          <w:sz w:val="24"/>
          <w:highlight w:val="none"/>
        </w:rPr>
        <w:t>八</w:t>
      </w:r>
      <w:r>
        <w:rPr>
          <w:rFonts w:ascii="Times New Roman" w:hAnsi="Times New Roman" w:eastAsia="黑体" w:cs="Times New Roman"/>
          <w:sz w:val="24"/>
          <w:highlight w:val="none"/>
        </w:rPr>
        <w:t>、</w:t>
      </w:r>
      <w:bookmarkEnd w:id="216"/>
      <w:bookmarkEnd w:id="217"/>
      <w:bookmarkEnd w:id="218"/>
      <w:bookmarkEnd w:id="219"/>
      <w:r>
        <w:rPr>
          <w:rFonts w:hint="eastAsia" w:ascii="Times New Roman" w:hAnsi="Times New Roman" w:eastAsia="黑体" w:cs="Times New Roman"/>
          <w:sz w:val="24"/>
          <w:highlight w:val="none"/>
          <w:lang w:val="en-US" w:eastAsia="zh-CN"/>
        </w:rPr>
        <w:t>服务</w:t>
      </w:r>
      <w:r>
        <w:rPr>
          <w:rFonts w:hint="eastAsia" w:ascii="Times New Roman" w:hAnsi="Times New Roman" w:eastAsia="黑体" w:cs="Times New Roman"/>
          <w:sz w:val="24"/>
          <w:highlight w:val="none"/>
        </w:rPr>
        <w:t>方案</w:t>
      </w:r>
      <w:bookmarkEnd w:id="220"/>
    </w:p>
    <w:p>
      <w:pPr>
        <w:spacing w:line="440" w:lineRule="exact"/>
        <w:ind w:left="1619" w:leftChars="771"/>
        <w:rPr>
          <w:rFonts w:ascii="Times New Roman" w:hAnsi="Times New Roman" w:eastAsia="黑体" w:cs="Times New Roman"/>
          <w:sz w:val="24"/>
          <w:highlight w:val="none"/>
        </w:rPr>
      </w:pPr>
      <w:bookmarkStart w:id="221" w:name="_Toc5885_WPSOffice_Level1"/>
      <w:bookmarkStart w:id="222" w:name="_Toc16988_WPSOffice_Level1"/>
      <w:bookmarkStart w:id="223" w:name="_Toc7764_WPSOffice_Level1"/>
      <w:r>
        <w:rPr>
          <w:rFonts w:hint="eastAsia" w:ascii="Times New Roman" w:hAnsi="Times New Roman" w:eastAsia="黑体" w:cs="Times New Roman"/>
          <w:sz w:val="24"/>
          <w:highlight w:val="none"/>
        </w:rPr>
        <w:t>九、其他材料</w:t>
      </w:r>
      <w:bookmarkEnd w:id="183"/>
      <w:bookmarkEnd w:id="221"/>
      <w:bookmarkEnd w:id="222"/>
      <w:bookmarkEnd w:id="223"/>
    </w:p>
    <w:p>
      <w:pPr>
        <w:spacing w:line="440" w:lineRule="exact"/>
        <w:ind w:left="1619" w:leftChars="771"/>
        <w:rPr>
          <w:rFonts w:ascii="Times New Roman" w:hAnsi="Times New Roman" w:eastAsia="黑体" w:cs="Times New Roman"/>
          <w:sz w:val="24"/>
          <w:highlight w:val="none"/>
        </w:rPr>
      </w:pPr>
    </w:p>
    <w:p>
      <w:pPr>
        <w:spacing w:line="440" w:lineRule="exact"/>
        <w:ind w:left="1619" w:leftChars="771"/>
        <w:rPr>
          <w:rFonts w:ascii="Times New Roman" w:hAnsi="Times New Roman" w:eastAsia="黑体" w:cs="Times New Roman"/>
          <w:sz w:val="24"/>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224" w:name="_Toc30031_WPSOffice_Level1"/>
      <w:bookmarkStart w:id="225" w:name="_Toc2765_WPSOffice_Level1"/>
      <w:bookmarkStart w:id="226" w:name="_Toc18312_WPSOffice_Level1"/>
      <w:bookmarkStart w:id="227" w:name="_Toc1687_WPSOffice_Level1"/>
      <w:bookmarkStart w:id="228" w:name="_Toc25394_WPSOffice_Level1"/>
      <w:bookmarkStart w:id="229" w:name="_Toc28708_WPSOffice_Level1"/>
      <w:r>
        <w:rPr>
          <w:rFonts w:ascii="Times New Roman" w:hAnsi="Times New Roman" w:eastAsia="黑体" w:cs="Times New Roman"/>
          <w:sz w:val="28"/>
          <w:szCs w:val="28"/>
          <w:highlight w:val="none"/>
        </w:rPr>
        <w:t>一、报价函</w:t>
      </w:r>
      <w:bookmarkEnd w:id="224"/>
      <w:bookmarkEnd w:id="225"/>
      <w:bookmarkEnd w:id="226"/>
      <w:bookmarkEnd w:id="227"/>
      <w:bookmarkEnd w:id="228"/>
      <w:bookmarkEnd w:id="229"/>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(采购人名称)：</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1．我方已仔细研究了</w:t>
      </w:r>
      <w:r>
        <w:rPr>
          <w:rFonts w:ascii="Times New Roman" w:hAnsi="Times New Roman" w:cs="Times New Roman"/>
          <w:sz w:val="24"/>
          <w:highlight w:val="none"/>
          <w:u w:val="single"/>
        </w:rPr>
        <w:t xml:space="preserve">      </w:t>
      </w:r>
      <w:r>
        <w:rPr>
          <w:rFonts w:ascii="Times New Roman" w:hAnsi="Times New Roman" w:cs="Times New Roman"/>
          <w:sz w:val="24"/>
          <w:highlight w:val="none"/>
        </w:rPr>
        <w:t>(项目名称)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合同包询比文件的全部内容(含补遗书第__号至第__号)，愿意以人民币(大写)</w:t>
      </w:r>
      <w:r>
        <w:rPr>
          <w:rFonts w:ascii="Times New Roman" w:hAnsi="Times New Roman" w:cs="Times New Roman"/>
          <w:sz w:val="24"/>
          <w:highlight w:val="none"/>
          <w:u w:val="single"/>
        </w:rPr>
        <w:t xml:space="preserve">     </w:t>
      </w:r>
      <w:r>
        <w:rPr>
          <w:rFonts w:ascii="Times New Roman" w:hAnsi="Times New Roman" w:cs="Times New Roman"/>
          <w:sz w:val="24"/>
          <w:highlight w:val="none"/>
        </w:rPr>
        <w:t>(小写：¥</w:t>
      </w:r>
      <w:r>
        <w:rPr>
          <w:rFonts w:ascii="Times New Roman" w:hAnsi="Times New Roman" w:cs="Times New Roman"/>
          <w:sz w:val="24"/>
          <w:highlight w:val="none"/>
          <w:u w:val="single"/>
        </w:rPr>
        <w:t xml:space="preserve">       </w:t>
      </w:r>
      <w:r>
        <w:rPr>
          <w:rFonts w:ascii="Times New Roman" w:hAnsi="Times New Roman" w:cs="Times New Roman"/>
          <w:sz w:val="24"/>
          <w:highlight w:val="none"/>
        </w:rPr>
        <w:t>)的</w:t>
      </w:r>
      <w:r>
        <w:rPr>
          <w:rFonts w:hint="eastAsia" w:ascii="Times New Roman" w:hAnsi="Times New Roman" w:cs="Times New Roman"/>
          <w:sz w:val="24"/>
          <w:highlight w:val="none"/>
          <w:lang w:val="en-US" w:eastAsia="zh-CN"/>
        </w:rPr>
        <w:t>含税</w:t>
      </w:r>
      <w:r>
        <w:rPr>
          <w:rFonts w:ascii="Times New Roman" w:hAnsi="Times New Roman" w:cs="Times New Roman"/>
          <w:sz w:val="24"/>
          <w:highlight w:val="none"/>
        </w:rPr>
        <w:t>总报价，</w:t>
      </w:r>
      <w:r>
        <w:rPr>
          <w:rFonts w:hint="eastAsia" w:ascii="Times New Roman" w:hAnsi="Times New Roman" w:cs="Times New Roman"/>
          <w:sz w:val="24"/>
          <w:highlight w:val="none"/>
          <w:lang w:val="en-US" w:eastAsia="zh-CN"/>
        </w:rPr>
        <w:t>增值税税率</w:t>
      </w:r>
      <w:r>
        <w:rPr>
          <w:rFonts w:hint="eastAsia" w:ascii="Times New Roman" w:hAnsi="Times New Roman" w:cs="Times New Roman"/>
          <w:sz w:val="24"/>
          <w:highlight w:val="none"/>
          <w:u w:val="single"/>
          <w:lang w:val="en-US" w:eastAsia="zh-CN"/>
        </w:rPr>
        <w:t xml:space="preserve">   </w:t>
      </w:r>
      <w:r>
        <w:rPr>
          <w:rFonts w:hint="eastAsia" w:ascii="Times New Roman" w:hAnsi="Times New Roman" w:cs="Times New Roman"/>
          <w:sz w:val="24"/>
          <w:highlight w:val="none"/>
          <w:lang w:val="en-US" w:eastAsia="zh-CN"/>
        </w:rPr>
        <w:t>%，</w:t>
      </w:r>
      <w:r>
        <w:rPr>
          <w:rFonts w:hint="eastAsia" w:ascii="Times New Roman" w:hAnsi="Times New Roman" w:cs="Times New Roman"/>
          <w:sz w:val="24"/>
          <w:highlight w:val="none"/>
        </w:rPr>
        <w:t>服务期</w:t>
      </w:r>
      <w:r>
        <w:rPr>
          <w:rFonts w:hint="eastAsia" w:ascii="Times New Roman" w:hAnsi="Times New Roman" w:cs="Times New Roman"/>
          <w:sz w:val="24"/>
          <w:highlight w:val="none"/>
          <w:u w:val="single"/>
          <w:lang w:val="en-US" w:eastAsia="zh-CN"/>
        </w:rPr>
        <w:t xml:space="preserve">          </w:t>
      </w:r>
      <w:r>
        <w:rPr>
          <w:rFonts w:ascii="Times New Roman" w:hAnsi="Times New Roman" w:cs="Times New Roman"/>
          <w:sz w:val="24"/>
          <w:highlight w:val="none"/>
        </w:rPr>
        <w:t>，按合同约定实施和完成相关服务，质量目标达到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，安全目标达到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2．我方承诺在响应有效期内不修改、撤销响应文件。</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3．随同本报价函提交响应保证金一份，金额为人民币(大写)</w:t>
      </w:r>
      <w:r>
        <w:rPr>
          <w:rFonts w:ascii="Times New Roman" w:hAnsi="Times New Roman" w:cs="Times New Roman"/>
          <w:sz w:val="24"/>
          <w:highlight w:val="none"/>
          <w:u w:val="single"/>
        </w:rPr>
        <w:t xml:space="preserve">      </w:t>
      </w:r>
      <w:r>
        <w:rPr>
          <w:rFonts w:ascii="Times New Roman" w:hAnsi="Times New Roman" w:cs="Times New Roman"/>
          <w:sz w:val="24"/>
          <w:highlight w:val="none"/>
        </w:rPr>
        <w:t>元(¥</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4．如我方成交：</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(2)我方承诺按照询比文件规定向你方递交履约担保。</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(3)我方承诺在合同约定的期限内完成全部合同任务。</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5．我方在此声明，所递交的响应文件及有关资料内容完整、真实和准确。</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7．我方理解，你方不一定</w:t>
      </w:r>
      <w:r>
        <w:rPr>
          <w:rFonts w:hint="eastAsia" w:ascii="Times New Roman" w:hAnsi="Times New Roman" w:cs="Times New Roman"/>
          <w:sz w:val="24"/>
          <w:highlight w:val="none"/>
        </w:rPr>
        <w:t>接受</w:t>
      </w:r>
      <w:r>
        <w:rPr>
          <w:rFonts w:ascii="Times New Roman" w:hAnsi="Times New Roman" w:cs="Times New Roman"/>
          <w:sz w:val="24"/>
          <w:highlight w:val="none"/>
        </w:rPr>
        <w:t>任何报价。同时也理解，你方不负担我方的任何报价费用。</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法定代表人</w:t>
      </w:r>
      <w:r>
        <w:rPr>
          <w:rFonts w:hint="eastAsia" w:ascii="Times New Roman" w:hAnsi="Times New Roman" w:cs="Times New Roman"/>
          <w:sz w:val="24"/>
          <w:highlight w:val="none"/>
        </w:rPr>
        <w:t>或委托代理人</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网址：</w:t>
      </w:r>
      <w:r>
        <w:rPr>
          <w:rFonts w:ascii="Times New Roman" w:hAnsi="Times New Roman" w:cs="Times New Roman"/>
          <w:sz w:val="24"/>
          <w:highlight w:val="none"/>
          <w:u w:val="singl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电话：</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hint="eastAsia" w:ascii="Times New Roman" w:hAnsi="Times New Roman" w:cs="Times New Roman"/>
          <w:sz w:val="24"/>
          <w:highlight w:val="none"/>
        </w:rPr>
        <w:t>电子邮箱</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p>
    <w:p>
      <w:pPr>
        <w:spacing w:line="400" w:lineRule="exact"/>
        <w:ind w:firstLine="4740" w:firstLineChars="1975"/>
        <w:rPr>
          <w:rFonts w:ascii="Times New Roman" w:hAnsi="Times New Roman"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rPr>
          <w:rFonts w:ascii="Times New Roman" w:hAnsi="Times New Roman" w:cs="Times New Roman"/>
          <w:sz w:val="24"/>
          <w:highlight w:val="none"/>
        </w:rPr>
      </w:pPr>
      <w:r>
        <w:rPr>
          <w:rFonts w:ascii="Times New Roman" w:hAnsi="Times New Roman" w:cs="Times New Roman"/>
          <w:sz w:val="24"/>
          <w:highlight w:val="none"/>
        </w:rPr>
        <w:br w:type="page"/>
      </w: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230" w:name="_Toc32350_WPSOffice_Level1"/>
      <w:bookmarkStart w:id="231" w:name="_Toc14563_WPSOffice_Level1"/>
      <w:bookmarkStart w:id="232" w:name="_Toc10475_WPSOffice_Level1"/>
      <w:bookmarkStart w:id="233" w:name="_Toc18668_WPSOffice_Level1"/>
      <w:bookmarkStart w:id="234" w:name="_Toc8695_WPSOffice_Level1"/>
      <w:bookmarkStart w:id="235" w:name="_Toc16271_WPSOffice_Level1"/>
      <w:r>
        <w:rPr>
          <w:rFonts w:ascii="Times New Roman" w:hAnsi="Times New Roman" w:eastAsia="黑体" w:cs="Times New Roman"/>
          <w:sz w:val="28"/>
          <w:szCs w:val="28"/>
          <w:highlight w:val="none"/>
        </w:rPr>
        <w:t>二、法定代表人身份证明及授权委托书</w:t>
      </w:r>
      <w:bookmarkEnd w:id="230"/>
      <w:bookmarkEnd w:id="231"/>
      <w:bookmarkEnd w:id="232"/>
      <w:bookmarkEnd w:id="233"/>
      <w:bookmarkEnd w:id="234"/>
      <w:bookmarkEnd w:id="235"/>
    </w:p>
    <w:p>
      <w:pPr>
        <w:spacing w:line="440" w:lineRule="exact"/>
        <w:rPr>
          <w:rFonts w:ascii="Times New Roman" w:hAnsi="Times New Roman" w:cs="Times New Roman"/>
          <w:sz w:val="20"/>
          <w:szCs w:val="20"/>
          <w:highlight w:val="none"/>
        </w:rPr>
      </w:pPr>
    </w:p>
    <w:p>
      <w:pPr>
        <w:spacing w:line="440" w:lineRule="exact"/>
        <w:jc w:val="center"/>
        <w:rPr>
          <w:rFonts w:ascii="Times New Roman" w:hAnsi="Times New Roman" w:cs="Times New Roman"/>
          <w:sz w:val="28"/>
          <w:szCs w:val="28"/>
          <w:highlight w:val="none"/>
        </w:rPr>
      </w:pPr>
      <w:bookmarkStart w:id="236" w:name="_Toc20803_WPSOffice_Level2"/>
      <w:bookmarkStart w:id="237" w:name="_Toc5153_WPSOffice_Level2"/>
      <w:r>
        <w:rPr>
          <w:rFonts w:ascii="Times New Roman" w:hAnsi="Times New Roman" w:eastAsia="黑体" w:cs="Times New Roman"/>
          <w:bCs/>
          <w:sz w:val="28"/>
          <w:szCs w:val="28"/>
          <w:highlight w:val="none"/>
        </w:rPr>
        <w:t>2-1 法定代表人身份证明</w:t>
      </w:r>
      <w:bookmarkEnd w:id="236"/>
      <w:bookmarkEnd w:id="237"/>
    </w:p>
    <w:p>
      <w:pPr>
        <w:spacing w:line="440" w:lineRule="exact"/>
        <w:rPr>
          <w:rFonts w:ascii="Times New Roman" w:hAnsi="Times New Roman" w:cs="Times New Roman"/>
          <w:sz w:val="20"/>
          <w:szCs w:val="20"/>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单位性质：</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成立时间：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经营期限：</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姓名：</w:t>
      </w:r>
      <w:r>
        <w:rPr>
          <w:rFonts w:ascii="Times New Roman" w:hAnsi="Times New Roman" w:cs="Times New Roman"/>
          <w:sz w:val="24"/>
          <w:highlight w:val="none"/>
          <w:u w:val="single"/>
        </w:rPr>
        <w:t xml:space="preserve">  </w:t>
      </w:r>
      <w:r>
        <w:rPr>
          <w:rFonts w:ascii="Times New Roman" w:hAnsi="Times New Roman" w:cs="Times New Roman"/>
          <w:bCs/>
          <w:sz w:val="24"/>
          <w:highlight w:val="none"/>
          <w:u w:val="single"/>
        </w:rPr>
        <w:t xml:space="preserve">                </w:t>
      </w:r>
      <w:r>
        <w:rPr>
          <w:rFonts w:ascii="Times New Roman" w:hAnsi="Times New Roman" w:cs="Times New Roman"/>
          <w:sz w:val="24"/>
          <w:highlight w:val="none"/>
        </w:rPr>
        <w:t xml:space="preserve"> 性别：</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年龄：</w:t>
      </w:r>
      <w:r>
        <w:rPr>
          <w:rFonts w:ascii="Times New Roman" w:hAnsi="Times New Roman" w:cs="Times New Roman"/>
          <w:sz w:val="24"/>
          <w:highlight w:val="none"/>
          <w:u w:val="single"/>
        </w:rPr>
        <w:t xml:space="preserve">        </w:t>
      </w:r>
      <w:r>
        <w:rPr>
          <w:rFonts w:ascii="Times New Roman" w:hAnsi="Times New Roman" w:cs="Times New Roman"/>
          <w:sz w:val="24"/>
          <w:highlight w:val="none"/>
        </w:rPr>
        <w:t>职务：</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(供应商名称)的法定代表人。</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w:t>
      </w:r>
      <w:r>
        <w:rPr>
          <w:rFonts w:hint="eastAsia" w:ascii="Times New Roman" w:hAnsi="Times New Roman" w:cs="Times New Roman"/>
          <w:sz w:val="24"/>
          <w:highlight w:val="none"/>
        </w:rPr>
        <w:t>身份证正反面复印件</w:t>
      </w:r>
    </w:p>
    <w:p>
      <w:pPr>
        <w:spacing w:line="440" w:lineRule="exact"/>
        <w:ind w:firstLine="480" w:firstLineChars="200"/>
        <w:rPr>
          <w:rFonts w:ascii="Times New Roman" w:hAnsi="Times New Roman" w:cs="Times New Roman"/>
          <w:sz w:val="24"/>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特此证明。</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           </w:t>
      </w: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ind w:left="315" w:hanging="315" w:hangingChars="150"/>
        <w:rPr>
          <w:rFonts w:ascii="Times New Roman" w:hAnsi="Times New Roman" w:eastAsia="黑体" w:cs="Times New Roman"/>
          <w:szCs w:val="21"/>
          <w:highlight w:val="none"/>
        </w:rPr>
      </w:pPr>
    </w:p>
    <w:p>
      <w:pPr>
        <w:topLinePunct/>
        <w:spacing w:line="440" w:lineRule="exact"/>
        <w:ind w:left="315" w:hanging="315" w:hangingChars="150"/>
        <w:rPr>
          <w:rFonts w:ascii="Times New Roman" w:hAnsi="Times New Roman" w:eastAsia="黑体" w:cs="Times New Roman"/>
          <w:bCs/>
          <w:szCs w:val="21"/>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4"/>
          <w:highlight w:val="none"/>
        </w:rPr>
        <w:br w:type="page"/>
      </w:r>
      <w:bookmarkStart w:id="238" w:name="_Toc12035_WPSOffice_Level2"/>
      <w:bookmarkStart w:id="239" w:name="_Toc19768_WPSOffice_Level2"/>
      <w:r>
        <w:rPr>
          <w:rFonts w:ascii="Times New Roman" w:hAnsi="Times New Roman" w:eastAsia="黑体" w:cs="Times New Roman"/>
          <w:bCs/>
          <w:sz w:val="28"/>
          <w:szCs w:val="28"/>
          <w:highlight w:val="none"/>
        </w:rPr>
        <w:t xml:space="preserve">2-2 </w:t>
      </w:r>
      <w:r>
        <w:rPr>
          <w:rFonts w:ascii="Times New Roman" w:hAnsi="Times New Roman" w:eastAsia="黑体" w:cs="Times New Roman"/>
          <w:sz w:val="28"/>
          <w:szCs w:val="28"/>
          <w:highlight w:val="none"/>
        </w:rPr>
        <w:t>授权委托书</w:t>
      </w:r>
      <w:bookmarkEnd w:id="238"/>
      <w:bookmarkEnd w:id="239"/>
    </w:p>
    <w:p>
      <w:pPr>
        <w:spacing w:line="440" w:lineRule="exact"/>
        <w:rPr>
          <w:rFonts w:ascii="Times New Roman" w:hAnsi="Times New Roman" w:eastAsia="黑体" w:cs="Times New Roman"/>
          <w:sz w:val="24"/>
          <w:highlight w:val="none"/>
        </w:rPr>
      </w:pPr>
    </w:p>
    <w:p>
      <w:pPr>
        <w:topLinePunct/>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本人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(供应商名称)的法定代表人，现委托</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(姓名)为我方代理人。代理人根据授权，以我方名义签署、澄清、说明、补正、递交、撤回、修改</w:t>
      </w:r>
      <w:r>
        <w:rPr>
          <w:rFonts w:ascii="Times New Roman" w:hAnsi="Times New Roman" w:cs="Times New Roman"/>
          <w:sz w:val="24"/>
          <w:highlight w:val="none"/>
          <w:u w:val="single"/>
        </w:rPr>
        <w:t xml:space="preserve">                     </w:t>
      </w:r>
      <w:r>
        <w:rPr>
          <w:rFonts w:ascii="Times New Roman" w:hAnsi="Times New Roman" w:cs="Times New Roman"/>
          <w:sz w:val="24"/>
          <w:highlight w:val="none"/>
        </w:rPr>
        <w:t>(项目名称)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合同包响应文件、签订合同和处理有关事宜，其法律后果由我方承担。</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委托期限：</w:t>
      </w:r>
      <w:r>
        <w:rPr>
          <w:rFonts w:ascii="Times New Roman" w:hAnsi="Times New Roman" w:cs="Times New Roman"/>
          <w:sz w:val="24"/>
          <w:highlight w:val="none"/>
          <w:u w:val="single"/>
        </w:rPr>
        <w:t>自授权委托之日起至签订合同之日止</w:t>
      </w:r>
      <w:r>
        <w:rPr>
          <w:rFonts w:ascii="Times New Roman" w:hAnsi="Times New Roman" w:cs="Times New Roman"/>
          <w:sz w:val="24"/>
          <w:highlight w:val="none"/>
        </w:rPr>
        <w:t>。</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代理人无转委托权。</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附：法定代表人身份证明</w:t>
      </w:r>
      <w:r>
        <w:rPr>
          <w:rFonts w:hint="eastAsia" w:ascii="Times New Roman" w:hAnsi="Times New Roman" w:cs="Times New Roman"/>
          <w:sz w:val="24"/>
          <w:highlight w:val="none"/>
        </w:rPr>
        <w:t>、委托代理人的身份证正反面复印件</w:t>
      </w:r>
    </w:p>
    <w:p>
      <w:pPr>
        <w:spacing w:line="440" w:lineRule="exact"/>
        <w:ind w:firstLine="480" w:firstLineChars="200"/>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法定代表人：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委托代理人：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ind w:firstLine="1800" w:firstLineChars="750"/>
        <w:rPr>
          <w:rFonts w:ascii="Times New Roman" w:hAnsi="Times New Roman" w:eastAsia="黑体"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spacing w:line="440" w:lineRule="exact"/>
        <w:rPr>
          <w:rFonts w:ascii="Times New Roman" w:hAnsi="Times New Roman" w:eastAsia="黑体" w:cs="Times New Roman"/>
          <w:sz w:val="24"/>
          <w:highlight w:val="none"/>
        </w:rPr>
      </w:pPr>
      <w:r>
        <w:rPr>
          <w:rFonts w:ascii="Times New Roman" w:hAnsi="Times New Roman" w:eastAsia="黑体" w:cs="Times New Roman"/>
          <w:sz w:val="24"/>
          <w:highlight w:val="none"/>
        </w:rPr>
        <w:t xml:space="preserve"> </w:t>
      </w:r>
    </w:p>
    <w:p>
      <w:pPr>
        <w:spacing w:line="360" w:lineRule="exact"/>
        <w:ind w:left="360" w:hanging="360" w:hangingChars="200"/>
        <w:rPr>
          <w:rFonts w:ascii="Times New Roman" w:hAnsi="Times New Roman" w:eastAsia="黑体" w:cs="Times New Roman"/>
          <w:sz w:val="18"/>
          <w:szCs w:val="18"/>
          <w:highlight w:val="none"/>
        </w:rPr>
      </w:pPr>
    </w:p>
    <w:p>
      <w:pPr>
        <w:spacing w:line="440" w:lineRule="exact"/>
        <w:jc w:val="center"/>
        <w:rPr>
          <w:rFonts w:ascii="Times New Roman" w:hAnsi="Times New Roman" w:eastAsia="黑体" w:cs="Times New Roman"/>
          <w:sz w:val="24"/>
          <w:highlight w:val="none"/>
        </w:rPr>
      </w:pPr>
      <w:r>
        <w:rPr>
          <w:rFonts w:ascii="Times New Roman" w:hAnsi="Times New Roman" w:eastAsia="黑体" w:cs="Times New Roman"/>
          <w:sz w:val="24"/>
          <w:highlight w:val="none"/>
        </w:rPr>
        <w:br w:type="page"/>
      </w:r>
    </w:p>
    <w:p>
      <w:pPr>
        <w:spacing w:line="440" w:lineRule="exact"/>
        <w:jc w:val="center"/>
        <w:rPr>
          <w:rFonts w:ascii="Times New Roman" w:hAnsi="Times New Roman" w:eastAsia="黑体" w:cs="Times New Roman"/>
          <w:sz w:val="28"/>
          <w:szCs w:val="28"/>
          <w:highlight w:val="none"/>
        </w:rPr>
      </w:pPr>
      <w:r>
        <w:rPr>
          <w:rFonts w:hint="eastAsia" w:ascii="Times New Roman" w:hAnsi="Times New Roman" w:eastAsia="黑体" w:cs="Times New Roman"/>
          <w:sz w:val="28"/>
          <w:szCs w:val="28"/>
          <w:highlight w:val="none"/>
        </w:rPr>
        <w:t>三</w:t>
      </w:r>
      <w:r>
        <w:rPr>
          <w:rFonts w:ascii="Times New Roman" w:hAnsi="Times New Roman" w:eastAsia="黑体" w:cs="Times New Roman"/>
          <w:sz w:val="28"/>
          <w:szCs w:val="28"/>
          <w:highlight w:val="none"/>
        </w:rPr>
        <w:t>、</w:t>
      </w:r>
      <w:r>
        <w:rPr>
          <w:rFonts w:hint="eastAsia" w:ascii="Times New Roman" w:hAnsi="Times New Roman" w:cs="Times New Roman"/>
          <w:b/>
          <w:bCs/>
          <w:sz w:val="28"/>
          <w:szCs w:val="32"/>
          <w:highlight w:val="none"/>
        </w:rPr>
        <w:t>已标价的报价清单</w:t>
      </w:r>
    </w:p>
    <w:p>
      <w:pPr>
        <w:spacing w:line="440" w:lineRule="exact"/>
        <w:ind w:firstLine="480" w:firstLineChars="200"/>
        <w:rPr>
          <w:rFonts w:ascii="Times New Roman" w:hAnsi="Times New Roman" w:eastAsia="黑体" w:cs="Times New Roman"/>
          <w:sz w:val="24"/>
          <w:highlight w:val="none"/>
        </w:rPr>
      </w:pPr>
    </w:p>
    <w:tbl>
      <w:tblPr>
        <w:tblStyle w:val="25"/>
        <w:tblW w:w="9870" w:type="dxa"/>
        <w:jc w:val="center"/>
        <w:tblLayout w:type="autofit"/>
        <w:tblCellMar>
          <w:top w:w="15" w:type="dxa"/>
          <w:left w:w="108" w:type="dxa"/>
          <w:bottom w:w="0" w:type="dxa"/>
          <w:right w:w="108" w:type="dxa"/>
        </w:tblCellMar>
      </w:tblPr>
      <w:tblGrid>
        <w:gridCol w:w="620"/>
        <w:gridCol w:w="2636"/>
        <w:gridCol w:w="2268"/>
        <w:gridCol w:w="1275"/>
        <w:gridCol w:w="1418"/>
        <w:gridCol w:w="1417"/>
        <w:gridCol w:w="236"/>
      </w:tblGrid>
      <w:tr>
        <w:tblPrEx>
          <w:tblCellMar>
            <w:top w:w="15" w:type="dxa"/>
            <w:left w:w="108" w:type="dxa"/>
            <w:bottom w:w="0" w:type="dxa"/>
            <w:right w:w="108" w:type="dxa"/>
          </w:tblCellMar>
        </w:tblPrEx>
        <w:trPr>
          <w:gridAfter w:val="1"/>
          <w:wAfter w:w="236" w:type="dxa"/>
          <w:trHeight w:val="280" w:hRule="atLeast"/>
          <w:jc w:val="center"/>
        </w:trPr>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序号</w:t>
            </w:r>
          </w:p>
        </w:tc>
        <w:tc>
          <w:tcPr>
            <w:tcW w:w="2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工作内容</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工作成果</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计量单位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数量</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服务报价（元）</w:t>
            </w:r>
          </w:p>
        </w:tc>
      </w:tr>
      <w:tr>
        <w:tblPrEx>
          <w:tblCellMar>
            <w:top w:w="15" w:type="dxa"/>
            <w:left w:w="108" w:type="dxa"/>
            <w:bottom w:w="0" w:type="dxa"/>
            <w:right w:w="108" w:type="dxa"/>
          </w:tblCellMar>
        </w:tblPrEx>
        <w:trPr>
          <w:gridAfter w:val="1"/>
          <w:wAfter w:w="236" w:type="dxa"/>
          <w:trHeight w:val="1960" w:hRule="atLeast"/>
          <w:jc w:val="center"/>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1</w:t>
            </w:r>
          </w:p>
        </w:tc>
        <w:tc>
          <w:tcPr>
            <w:tcW w:w="263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Times New Roman" w:hAnsi="Times New Roman" w:cs="Times New Roman"/>
                <w:b w:val="0"/>
                <w:bCs w:val="0"/>
                <w:sz w:val="21"/>
                <w:szCs w:val="21"/>
                <w:highlight w:val="none"/>
              </w:rPr>
              <w:t>住宅小区智慧泵房研究及应用</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highlight w:val="none"/>
                <w:lang w:eastAsia="zh-CN"/>
              </w:rPr>
            </w:pPr>
            <w:r>
              <w:rPr>
                <w:rFonts w:hint="eastAsia" w:ascii="等线" w:hAnsi="等线" w:eastAsia="等线" w:cs="宋体"/>
                <w:color w:val="000000"/>
                <w:kern w:val="0"/>
                <w:sz w:val="22"/>
                <w:szCs w:val="22"/>
                <w:highlight w:val="none"/>
              </w:rPr>
              <w:t>1）论文 1 篇，在带有刊号的正式期刊发表；</w:t>
            </w:r>
          </w:p>
          <w:p>
            <w:pPr>
              <w:widowControl/>
              <w:jc w:val="center"/>
              <w:rPr>
                <w:rFonts w:hint="eastAsia" w:ascii="等线" w:hAnsi="等线" w:eastAsia="等线" w:cs="宋体"/>
                <w:color w:val="000000"/>
                <w:kern w:val="0"/>
                <w:sz w:val="22"/>
                <w:szCs w:val="22"/>
                <w:highlight w:val="none"/>
                <w:lang w:eastAsia="zh-CN"/>
              </w:rPr>
            </w:pPr>
            <w:r>
              <w:rPr>
                <w:rFonts w:hint="eastAsia" w:ascii="等线" w:hAnsi="等线" w:eastAsia="等线" w:cs="宋体"/>
                <w:color w:val="000000"/>
                <w:kern w:val="0"/>
                <w:sz w:val="22"/>
                <w:szCs w:val="22"/>
                <w:highlight w:val="none"/>
              </w:rPr>
              <w:t>2）</w:t>
            </w:r>
            <w:r>
              <w:rPr>
                <w:rFonts w:hint="eastAsia" w:ascii="等线" w:hAnsi="等线" w:eastAsia="等线" w:cs="宋体"/>
                <w:color w:val="000000"/>
                <w:kern w:val="0"/>
                <w:sz w:val="22"/>
                <w:szCs w:val="22"/>
                <w:highlight w:val="none"/>
                <w:lang w:val="en-US" w:eastAsia="zh-CN"/>
              </w:rPr>
              <w:t>咨询服务</w:t>
            </w:r>
            <w:r>
              <w:rPr>
                <w:rFonts w:hint="eastAsia" w:ascii="等线" w:hAnsi="等线" w:eastAsia="等线" w:cs="宋体"/>
                <w:color w:val="000000"/>
                <w:kern w:val="0"/>
                <w:sz w:val="22"/>
                <w:szCs w:val="22"/>
                <w:highlight w:val="none"/>
                <w:lang w:eastAsia="zh-CN"/>
              </w:rPr>
              <w:t>。</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不含税总计（元）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税金（元）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610" w:hRule="atLeast"/>
          <w:jc w:val="center"/>
        </w:trPr>
        <w:tc>
          <w:tcPr>
            <w:tcW w:w="8217"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含税总计（元）</w:t>
            </w:r>
          </w:p>
        </w:tc>
        <w:tc>
          <w:tcPr>
            <w:tcW w:w="141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　</w:t>
            </w:r>
          </w:p>
        </w:tc>
      </w:tr>
      <w:tr>
        <w:tblPrEx>
          <w:tblCellMar>
            <w:top w:w="15" w:type="dxa"/>
            <w:left w:w="108" w:type="dxa"/>
            <w:bottom w:w="0" w:type="dxa"/>
            <w:right w:w="108" w:type="dxa"/>
          </w:tblCellMar>
        </w:tblPrEx>
        <w:trPr>
          <w:gridAfter w:val="1"/>
          <w:wAfter w:w="236" w:type="dxa"/>
          <w:trHeight w:val="312" w:hRule="atLeast"/>
          <w:jc w:val="center"/>
        </w:trPr>
        <w:tc>
          <w:tcPr>
            <w:tcW w:w="9634" w:type="dxa"/>
            <w:gridSpan w:val="6"/>
            <w:vMerge w:val="restart"/>
            <w:tcBorders>
              <w:top w:val="single" w:color="auto" w:sz="4" w:space="0"/>
              <w:left w:val="nil"/>
              <w:bottom w:val="nil"/>
              <w:right w:val="nil"/>
            </w:tcBorders>
            <w:shd w:val="clear" w:color="auto" w:fill="auto"/>
            <w:vAlign w:val="center"/>
          </w:tcPr>
          <w:p>
            <w:pPr>
              <w:widowControl/>
              <w:jc w:val="left"/>
              <w:rPr>
                <w:rFonts w:ascii="等线" w:hAnsi="等线" w:eastAsia="等线" w:cs="宋体"/>
                <w:color w:val="000000"/>
                <w:kern w:val="0"/>
                <w:sz w:val="22"/>
                <w:szCs w:val="22"/>
                <w:highlight w:val="none"/>
              </w:rPr>
            </w:pPr>
            <w:r>
              <w:rPr>
                <w:rFonts w:hint="eastAsia" w:ascii="等线" w:hAnsi="等线" w:eastAsia="等线" w:cs="宋体"/>
                <w:color w:val="000000"/>
                <w:kern w:val="0"/>
                <w:sz w:val="22"/>
                <w:szCs w:val="22"/>
                <w:highlight w:val="none"/>
              </w:rPr>
              <w:t>备注：1、本报价采取固定总价报价，税率6%。合同签订后的固定总价将不以市场人工、物价上涨而变化。以上固定总价已包含但不限于合同约定的所有服务的费用及配合费用（包括但不限于劳务费、应缴纳的税费、为完成本科技项目工作所需的行政、通讯费用、工作人员的薪金、奖金、福利、交通、食宿、加班以及到现场人员差旅食宿费等所有费用）。</w:t>
            </w: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等线" w:hAnsi="等线" w:eastAsia="等线" w:cs="宋体"/>
                <w:color w:val="000000"/>
                <w:kern w:val="0"/>
                <w:sz w:val="22"/>
                <w:szCs w:val="22"/>
                <w:highlight w:val="none"/>
              </w:rPr>
            </w:pP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highlight w:val="none"/>
              </w:rPr>
            </w:pPr>
          </w:p>
        </w:tc>
      </w:tr>
      <w:tr>
        <w:tblPrEx>
          <w:tblCellMar>
            <w:top w:w="15" w:type="dxa"/>
            <w:left w:w="108" w:type="dxa"/>
            <w:bottom w:w="0" w:type="dxa"/>
            <w:right w:w="108" w:type="dxa"/>
          </w:tblCellMar>
        </w:tblPrEx>
        <w:trPr>
          <w:trHeight w:val="280" w:hRule="atLeast"/>
          <w:jc w:val="center"/>
        </w:trPr>
        <w:tc>
          <w:tcPr>
            <w:tcW w:w="9634" w:type="dxa"/>
            <w:gridSpan w:val="6"/>
            <w:vMerge w:val="continue"/>
            <w:tcBorders>
              <w:top w:val="single" w:color="auto" w:sz="4" w:space="0"/>
              <w:left w:val="nil"/>
              <w:bottom w:val="nil"/>
              <w:right w:val="nil"/>
            </w:tcBorders>
            <w:vAlign w:val="center"/>
          </w:tcPr>
          <w:p>
            <w:pPr>
              <w:widowControl/>
              <w:jc w:val="left"/>
              <w:rPr>
                <w:rFonts w:ascii="等线" w:hAnsi="等线" w:eastAsia="等线" w:cs="宋体"/>
                <w:color w:val="000000"/>
                <w:kern w:val="0"/>
                <w:sz w:val="22"/>
                <w:szCs w:val="22"/>
                <w:highlight w:val="none"/>
              </w:rPr>
            </w:pPr>
          </w:p>
        </w:tc>
        <w:tc>
          <w:tcPr>
            <w:tcW w:w="23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highlight w:val="none"/>
              </w:rPr>
            </w:pPr>
          </w:p>
        </w:tc>
      </w:tr>
    </w:tbl>
    <w:p>
      <w:pPr>
        <w:spacing w:line="440" w:lineRule="exact"/>
        <w:ind w:firstLine="480" w:firstLineChars="200"/>
        <w:rPr>
          <w:rFonts w:ascii="Times New Roman" w:hAnsi="Times New Roman" w:eastAsia="黑体" w:cs="Times New Roman"/>
          <w:sz w:val="24"/>
          <w:highlight w:val="none"/>
        </w:rPr>
      </w:pPr>
    </w:p>
    <w:p>
      <w:pPr>
        <w:spacing w:line="440" w:lineRule="exact"/>
        <w:rPr>
          <w:rFonts w:ascii="Times New Roman" w:hAnsi="Times New Roman" w:eastAsia="黑体" w:cs="Times New Roman"/>
          <w:sz w:val="24"/>
          <w:highlight w:val="none"/>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highlight w:val="none"/>
        </w:rPr>
      </w:pPr>
      <w:bookmarkStart w:id="240" w:name="_Toc23545_WPSOffice_Level1"/>
      <w:bookmarkStart w:id="241" w:name="_Toc5978_WPSOffice_Level1"/>
      <w:bookmarkStart w:id="242" w:name="_Toc31445_WPSOffice_Level1"/>
      <w:bookmarkStart w:id="243" w:name="_Toc10436_WPSOffice_Level1"/>
      <w:bookmarkStart w:id="244" w:name="_Toc7738_WPSOffice_Level1"/>
      <w:bookmarkStart w:id="245" w:name="_Toc26477_WPSOffice_Level1"/>
      <w:r>
        <w:rPr>
          <w:rFonts w:hint="eastAsia" w:ascii="Times New Roman" w:hAnsi="Times New Roman" w:eastAsia="黑体" w:cs="Times New Roman"/>
          <w:sz w:val="28"/>
          <w:szCs w:val="28"/>
          <w:highlight w:val="none"/>
        </w:rPr>
        <w:t>四</w:t>
      </w:r>
      <w:r>
        <w:rPr>
          <w:rFonts w:ascii="Times New Roman" w:hAnsi="Times New Roman" w:eastAsia="黑体" w:cs="Times New Roman"/>
          <w:sz w:val="28"/>
          <w:szCs w:val="28"/>
          <w:highlight w:val="none"/>
        </w:rPr>
        <w:t>、</w:t>
      </w:r>
      <w:bookmarkStart w:id="246" w:name="_Toc27600_WPSOffice_Level2"/>
      <w:bookmarkStart w:id="247" w:name="_Toc2807_WPSOffice_Level2"/>
      <w:r>
        <w:rPr>
          <w:rFonts w:ascii="Times New Roman" w:hAnsi="Times New Roman" w:eastAsia="黑体" w:cs="Times New Roman"/>
          <w:sz w:val="28"/>
          <w:szCs w:val="28"/>
          <w:highlight w:val="none"/>
        </w:rPr>
        <w:t>供应商基本情况</w:t>
      </w:r>
      <w:bookmarkEnd w:id="240"/>
      <w:bookmarkEnd w:id="241"/>
      <w:bookmarkEnd w:id="242"/>
      <w:bookmarkEnd w:id="243"/>
      <w:bookmarkEnd w:id="244"/>
      <w:bookmarkEnd w:id="245"/>
      <w:bookmarkEnd w:id="246"/>
      <w:bookmarkEnd w:id="247"/>
    </w:p>
    <w:p>
      <w:pPr>
        <w:topLinePunct/>
        <w:spacing w:line="440" w:lineRule="exact"/>
        <w:jc w:val="center"/>
        <w:rPr>
          <w:rFonts w:ascii="Times New Roman" w:hAnsi="Times New Roman" w:cs="Times New Roman"/>
          <w:sz w:val="23"/>
          <w:szCs w:val="23"/>
          <w:highlight w:val="none"/>
        </w:rPr>
      </w:pPr>
    </w:p>
    <w:tbl>
      <w:tblPr>
        <w:tblStyle w:val="25"/>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供应商名称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电子</w:t>
            </w:r>
            <w:r>
              <w:rPr>
                <w:rFonts w:hint="eastAsia" w:ascii="Times New Roman" w:hAnsi="Times New Roman" w:cs="Times New Roman"/>
                <w:szCs w:val="21"/>
                <w:highlight w:val="none"/>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资产构成情况及</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投资参股的</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ascii="Times New Roman" w:hAnsi="Times New Roman" w:cs="Times New Roman"/>
                <w:szCs w:val="21"/>
                <w:highlight w:val="none"/>
              </w:rPr>
            </w:pPr>
          </w:p>
          <w:p>
            <w:pPr>
              <w:topLinePunct/>
              <w:spacing w:line="440" w:lineRule="exact"/>
              <w:jc w:val="center"/>
              <w:rPr>
                <w:rFonts w:ascii="Times New Roman" w:hAnsi="Times New Roman" w:cs="Times New Roman"/>
                <w:szCs w:val="21"/>
                <w:highlight w:val="none"/>
              </w:rPr>
            </w:pPr>
          </w:p>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cs="Times New Roman"/>
                <w:szCs w:val="21"/>
                <w:highlight w:val="none"/>
              </w:rPr>
            </w:pPr>
          </w:p>
        </w:tc>
      </w:tr>
    </w:tbl>
    <w:p>
      <w:pPr>
        <w:widowControl/>
        <w:autoSpaceDE w:val="0"/>
        <w:autoSpaceDN w:val="0"/>
        <w:spacing w:line="360" w:lineRule="atLeast"/>
        <w:ind w:left="180"/>
        <w:textAlignment w:val="bottom"/>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在本表后应附企业法人营业执照</w:t>
      </w:r>
      <w:r>
        <w:rPr>
          <w:rFonts w:hint="eastAsia" w:ascii="Times New Roman" w:hAnsi="Times New Roman" w:eastAsia="黑体" w:cs="Times New Roman"/>
          <w:szCs w:val="21"/>
          <w:highlight w:val="none"/>
          <w:lang w:val="en-US" w:eastAsia="zh-CN"/>
        </w:rPr>
        <w:t>及</w:t>
      </w:r>
      <w:r>
        <w:rPr>
          <w:rFonts w:ascii="Times New Roman" w:hAnsi="Times New Roman" w:eastAsia="黑体" w:cs="Times New Roman"/>
          <w:szCs w:val="21"/>
          <w:highlight w:val="none"/>
        </w:rPr>
        <w:t>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p>
    <w:p>
      <w:pPr>
        <w:widowControl/>
        <w:rPr>
          <w:rFonts w:ascii="Times New Roman" w:hAnsi="Times New Roman" w:eastAsia="黑体" w:cs="Times New Roman"/>
          <w:szCs w:val="21"/>
          <w:highlight w:val="none"/>
        </w:rPr>
      </w:pPr>
      <w:r>
        <w:rPr>
          <w:rFonts w:ascii="Times New Roman" w:hAnsi="Times New Roman" w:eastAsia="黑体" w:cs="Times New Roman"/>
          <w:szCs w:val="21"/>
          <w:highlight w:val="none"/>
        </w:rPr>
        <w:br w:type="page"/>
      </w:r>
    </w:p>
    <w:p>
      <w:pPr>
        <w:pStyle w:val="11"/>
        <w:spacing w:line="240" w:lineRule="atLeast"/>
        <w:ind w:left="560" w:leftChars="0" w:right="-512" w:rightChars="-244" w:hanging="560" w:hangingChars="200"/>
        <w:jc w:val="center"/>
        <w:rPr>
          <w:rFonts w:ascii="Times New Roman" w:hAnsi="Times New Roman" w:cs="Times New Roman"/>
          <w:sz w:val="28"/>
          <w:szCs w:val="28"/>
          <w:highlight w:val="none"/>
        </w:rPr>
      </w:pPr>
      <w:bookmarkStart w:id="248" w:name="_Toc5072_WPSOffice_Level1"/>
      <w:bookmarkStart w:id="249" w:name="_Toc20943_WPSOffice_Level1"/>
      <w:bookmarkStart w:id="250" w:name="_Toc19004_WPSOffice_Level1"/>
      <w:bookmarkStart w:id="251" w:name="_Toc1102_WPSOffice_Level1"/>
      <w:bookmarkStart w:id="252" w:name="_Toc3772_WPSOffice_Level1"/>
      <w:bookmarkStart w:id="253" w:name="_Toc18547_WPSOffice_Level1"/>
      <w:r>
        <w:rPr>
          <w:rFonts w:hint="eastAsia" w:ascii="Times New Roman" w:hAnsi="Times New Roman" w:eastAsia="黑体" w:cs="Times New Roman"/>
          <w:sz w:val="28"/>
          <w:szCs w:val="28"/>
          <w:highlight w:val="none"/>
        </w:rPr>
        <w:t>五</w:t>
      </w:r>
      <w:r>
        <w:rPr>
          <w:rFonts w:ascii="Times New Roman" w:hAnsi="Times New Roman" w:eastAsia="黑体" w:cs="Times New Roman"/>
          <w:sz w:val="28"/>
          <w:szCs w:val="28"/>
          <w:highlight w:val="none"/>
        </w:rPr>
        <w:t>、近年类似业绩情况</w:t>
      </w:r>
      <w:bookmarkEnd w:id="248"/>
      <w:bookmarkEnd w:id="249"/>
      <w:bookmarkEnd w:id="250"/>
      <w:bookmarkEnd w:id="251"/>
      <w:bookmarkEnd w:id="252"/>
      <w:bookmarkEnd w:id="253"/>
    </w:p>
    <w:tbl>
      <w:tblPr>
        <w:tblStyle w:val="2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项目名称</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项目所在地</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名称</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地址</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电话</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合同价格</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开工日期</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完成</w:t>
            </w:r>
            <w:r>
              <w:rPr>
                <w:rFonts w:ascii="Times New Roman" w:hAnsi="Times New Roman" w:cs="Times New Roman"/>
                <w:szCs w:val="21"/>
                <w:highlight w:val="none"/>
              </w:rPr>
              <w:t>日期</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承担的工作</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w:t>
            </w:r>
            <w:r>
              <w:rPr>
                <w:rFonts w:hint="eastAsia" w:ascii="Times New Roman" w:hAnsi="Times New Roman" w:cs="Times New Roman"/>
                <w:szCs w:val="21"/>
                <w:highlight w:val="none"/>
              </w:rPr>
              <w:t>负责人</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项目描述</w:t>
            </w:r>
          </w:p>
        </w:tc>
        <w:tc>
          <w:tcPr>
            <w:tcW w:w="6258" w:type="dxa"/>
            <w:noWrap w:val="0"/>
            <w:vAlign w:val="top"/>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258" w:type="dxa"/>
            <w:noWrap w:val="0"/>
            <w:vAlign w:val="top"/>
          </w:tcPr>
          <w:p>
            <w:pPr>
              <w:topLinePunct/>
              <w:spacing w:line="440" w:lineRule="exact"/>
              <w:rPr>
                <w:rFonts w:ascii="Times New Roman" w:hAnsi="Times New Roman" w:cs="Times New Roman"/>
                <w:szCs w:val="21"/>
                <w:highlight w:val="none"/>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highlight w:val="none"/>
        </w:rPr>
      </w:pPr>
      <w:r>
        <w:rPr>
          <w:rFonts w:ascii="Times New Roman" w:hAnsi="Times New Roman" w:eastAsia="黑体" w:cs="Times New Roman"/>
          <w:sz w:val="20"/>
          <w:szCs w:val="20"/>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1、</w:t>
      </w:r>
      <w:r>
        <w:rPr>
          <w:rFonts w:ascii="Times New Roman" w:hAnsi="Times New Roman" w:eastAsia="黑体" w:cs="Times New Roman"/>
          <w:szCs w:val="21"/>
          <w:highlight w:val="none"/>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2、业绩证明材料要求：</w:t>
      </w:r>
      <w:r>
        <w:rPr>
          <w:rFonts w:hint="eastAsia" w:ascii="Times New Roman" w:hAnsi="Times New Roman" w:eastAsia="黑体" w:cs="Times New Roman"/>
          <w:szCs w:val="21"/>
          <w:highlight w:val="none"/>
          <w:lang w:val="en-US" w:eastAsia="zh-CN"/>
        </w:rPr>
        <w:t>见采购公告</w:t>
      </w:r>
      <w:r>
        <w:rPr>
          <w:rFonts w:hint="eastAsia" w:ascii="Times New Roman" w:hAnsi="Times New Roman" w:eastAsia="黑体" w:cs="Times New Roman"/>
          <w:szCs w:val="21"/>
          <w:highlight w:val="none"/>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highlight w:val="none"/>
        </w:rPr>
      </w:pPr>
      <w:r>
        <w:rPr>
          <w:rFonts w:hint="eastAsia" w:ascii="Times New Roman" w:hAnsi="Times New Roman" w:eastAsia="黑体" w:cs="Times New Roman"/>
          <w:szCs w:val="21"/>
          <w:highlight w:val="none"/>
        </w:rPr>
        <w:t>3、</w:t>
      </w:r>
      <w:r>
        <w:rPr>
          <w:rFonts w:ascii="Times New Roman" w:hAnsi="Times New Roman" w:eastAsia="黑体" w:cs="Times New Roman"/>
          <w:szCs w:val="21"/>
          <w:highlight w:val="none"/>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highlight w:val="none"/>
        </w:rPr>
      </w:pPr>
    </w:p>
    <w:p>
      <w:pPr>
        <w:topLinePunct/>
        <w:spacing w:line="340" w:lineRule="atLeast"/>
        <w:jc w:val="center"/>
        <w:rPr>
          <w:rFonts w:ascii="Times New Roman" w:hAnsi="Times New Roman" w:eastAsia="黑体" w:cs="Times New Roman"/>
          <w:sz w:val="24"/>
          <w:highlight w:val="none"/>
        </w:rPr>
      </w:pPr>
      <w:r>
        <w:rPr>
          <w:rFonts w:ascii="Times New Roman" w:hAnsi="Times New Roman" w:eastAsia="黑体" w:cs="Times New Roman"/>
          <w:sz w:val="28"/>
          <w:szCs w:val="28"/>
          <w:highlight w:val="none"/>
        </w:rPr>
        <w:br w:type="page"/>
      </w:r>
    </w:p>
    <w:p>
      <w:pPr>
        <w:widowControl/>
        <w:autoSpaceDE w:val="0"/>
        <w:autoSpaceDN w:val="0"/>
        <w:spacing w:line="360" w:lineRule="atLeast"/>
        <w:ind w:left="180"/>
        <w:jc w:val="center"/>
        <w:textAlignment w:val="bottom"/>
        <w:rPr>
          <w:rFonts w:ascii="Times New Roman" w:hAnsi="Times New Roman" w:eastAsia="黑体" w:cs="Times New Roman"/>
          <w:sz w:val="28"/>
          <w:szCs w:val="28"/>
          <w:highlight w:val="none"/>
        </w:rPr>
      </w:pPr>
      <w:bookmarkStart w:id="254" w:name="_Toc29313_WPSOffice_Level1"/>
      <w:bookmarkStart w:id="255" w:name="_Toc4739_WPSOffice_Level1"/>
      <w:bookmarkStart w:id="256" w:name="_Toc18931_WPSOffice_Level1"/>
      <w:bookmarkStart w:id="257" w:name="_Toc8166_WPSOffice_Level1"/>
      <w:bookmarkStart w:id="258" w:name="_Toc16156_WPSOffice_Level1"/>
      <w:bookmarkStart w:id="259" w:name="_Toc24001_WPSOffice_Level1"/>
      <w:r>
        <w:rPr>
          <w:rFonts w:hint="eastAsia" w:ascii="Times New Roman" w:hAnsi="Times New Roman" w:eastAsia="黑体" w:cs="Times New Roman"/>
          <w:sz w:val="28"/>
          <w:szCs w:val="28"/>
          <w:highlight w:val="none"/>
        </w:rPr>
        <w:t>六</w:t>
      </w:r>
      <w:r>
        <w:rPr>
          <w:rFonts w:ascii="Times New Roman" w:hAnsi="Times New Roman" w:eastAsia="黑体" w:cs="Times New Roman"/>
          <w:sz w:val="28"/>
          <w:szCs w:val="28"/>
          <w:highlight w:val="none"/>
        </w:rPr>
        <w:t>、拟委任的主要人</w:t>
      </w:r>
      <w:bookmarkEnd w:id="254"/>
      <w:r>
        <w:rPr>
          <w:rFonts w:ascii="Times New Roman" w:hAnsi="Times New Roman" w:eastAsia="黑体" w:cs="Times New Roman"/>
          <w:sz w:val="28"/>
          <w:szCs w:val="28"/>
          <w:highlight w:val="none"/>
        </w:rPr>
        <w:t>员</w:t>
      </w:r>
      <w:bookmarkEnd w:id="255"/>
      <w:bookmarkEnd w:id="256"/>
      <w:bookmarkEnd w:id="257"/>
      <w:bookmarkEnd w:id="258"/>
      <w:bookmarkEnd w:id="259"/>
    </w:p>
    <w:p>
      <w:pPr>
        <w:pStyle w:val="2"/>
        <w:widowControl/>
        <w:autoSpaceDE w:val="0"/>
        <w:autoSpaceDN w:val="0"/>
        <w:spacing w:line="360" w:lineRule="atLeast"/>
        <w:ind w:left="180"/>
        <w:jc w:val="center"/>
        <w:textAlignment w:val="bottom"/>
        <w:rPr>
          <w:rFonts w:ascii="Times New Roman" w:hAnsi="Times New Roman" w:eastAsia="黑体" w:cs="Times New Roman"/>
          <w:sz w:val="28"/>
          <w:szCs w:val="28"/>
          <w:highlight w:val="none"/>
        </w:rPr>
      </w:pPr>
      <w:bookmarkStart w:id="260" w:name="_Toc24686_WPSOffice_Level2"/>
      <w:bookmarkStart w:id="261" w:name="_Toc6185_WPSOffice_Level2"/>
      <w:r>
        <w:rPr>
          <w:rFonts w:ascii="Times New Roman" w:hAnsi="Times New Roman" w:eastAsia="黑体" w:cs="Times New Roman"/>
          <w:sz w:val="28"/>
          <w:szCs w:val="28"/>
          <w:highlight w:val="none"/>
        </w:rPr>
        <w:t>拟委任的</w:t>
      </w:r>
      <w:r>
        <w:rPr>
          <w:rFonts w:hint="eastAsia" w:ascii="Times New Roman" w:hAnsi="Times New Roman" w:eastAsia="黑体" w:cs="Times New Roman"/>
          <w:sz w:val="28"/>
          <w:szCs w:val="28"/>
          <w:highlight w:val="none"/>
        </w:rPr>
        <w:t>主要人员</w:t>
      </w:r>
      <w:r>
        <w:rPr>
          <w:rFonts w:ascii="Times New Roman" w:hAnsi="Times New Roman" w:eastAsia="黑体" w:cs="Times New Roman"/>
          <w:sz w:val="28"/>
          <w:szCs w:val="28"/>
          <w:highlight w:val="none"/>
        </w:rPr>
        <w:t>资历表</w:t>
      </w:r>
      <w:bookmarkEnd w:id="260"/>
      <w:bookmarkEnd w:id="261"/>
    </w:p>
    <w:tbl>
      <w:tblPr>
        <w:tblStyle w:val="25"/>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姓    名</w:t>
            </w:r>
          </w:p>
        </w:tc>
        <w:tc>
          <w:tcPr>
            <w:tcW w:w="1440"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016" w:type="dxa"/>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年    龄</w:t>
            </w:r>
          </w:p>
        </w:tc>
        <w:tc>
          <w:tcPr>
            <w:tcW w:w="1322" w:type="dxa"/>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0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专    业</w:t>
            </w:r>
          </w:p>
        </w:tc>
        <w:tc>
          <w:tcPr>
            <w:tcW w:w="1598" w:type="dxa"/>
            <w:gridSpan w:val="2"/>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职    称</w:t>
            </w:r>
          </w:p>
        </w:tc>
        <w:tc>
          <w:tcPr>
            <w:tcW w:w="1440"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016" w:type="dxa"/>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职    务</w:t>
            </w:r>
          </w:p>
        </w:tc>
        <w:tc>
          <w:tcPr>
            <w:tcW w:w="1322" w:type="dxa"/>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0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拟在本项目</w:t>
            </w:r>
          </w:p>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担任职务</w:t>
            </w:r>
          </w:p>
        </w:tc>
        <w:tc>
          <w:tcPr>
            <w:tcW w:w="1598" w:type="dxa"/>
            <w:gridSpan w:val="2"/>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__年~__年</w:t>
            </w:r>
          </w:p>
        </w:tc>
        <w:tc>
          <w:tcPr>
            <w:tcW w:w="4053" w:type="dxa"/>
            <w:gridSpan w:val="4"/>
            <w:noWrap w:val="0"/>
            <w:vAlign w:val="center"/>
          </w:tcPr>
          <w:p>
            <w:pPr>
              <w:pStyle w:val="36"/>
              <w:widowControl/>
              <w:adjustRightInd/>
              <w:snapToGrid/>
              <w:spacing w:before="40" w:after="40" w:line="280" w:lineRule="atLeast"/>
              <w:textAlignment w:val="bottom"/>
              <w:rPr>
                <w:rFonts w:ascii="Times New Roman" w:hAnsi="Times New Roman" w:cs="Times New Roman"/>
                <w:spacing w:val="0"/>
                <w:kern w:val="2"/>
                <w:szCs w:val="21"/>
                <w:highlight w:val="none"/>
              </w:rPr>
            </w:pPr>
            <w:r>
              <w:rPr>
                <w:rFonts w:ascii="Times New Roman" w:hAnsi="Times New Roman" w:cs="Times New Roman"/>
                <w:spacing w:val="0"/>
                <w:kern w:val="2"/>
                <w:szCs w:val="21"/>
                <w:highlight w:val="none"/>
              </w:rPr>
              <w:t>参加过的</w:t>
            </w:r>
            <w:r>
              <w:rPr>
                <w:rFonts w:hint="eastAsia" w:ascii="Times New Roman" w:hAnsi="Times New Roman" w:cs="Times New Roman"/>
                <w:spacing w:val="0"/>
                <w:kern w:val="2"/>
                <w:szCs w:val="21"/>
                <w:highlight w:val="none"/>
              </w:rPr>
              <w:t>类似</w:t>
            </w:r>
            <w:r>
              <w:rPr>
                <w:rFonts w:ascii="Times New Roman" w:hAnsi="Times New Roman" w:cs="Times New Roman"/>
                <w:spacing w:val="0"/>
                <w:kern w:val="2"/>
                <w:szCs w:val="21"/>
                <w:highlight w:val="none"/>
              </w:rPr>
              <w:t>项目名称</w:t>
            </w:r>
          </w:p>
        </w:tc>
        <w:tc>
          <w:tcPr>
            <w:tcW w:w="1847" w:type="dxa"/>
            <w:gridSpan w:val="2"/>
            <w:noWrap w:val="0"/>
            <w:vAlign w:val="center"/>
          </w:tcPr>
          <w:p>
            <w:pPr>
              <w:pStyle w:val="36"/>
              <w:widowControl/>
              <w:adjustRightInd/>
              <w:snapToGrid/>
              <w:spacing w:before="40" w:after="40" w:line="280" w:lineRule="atLeast"/>
              <w:textAlignment w:val="bottom"/>
              <w:rPr>
                <w:rFonts w:ascii="Times New Roman" w:hAnsi="Times New Roman" w:cs="Times New Roman"/>
                <w:spacing w:val="0"/>
                <w:kern w:val="2"/>
                <w:szCs w:val="21"/>
                <w:highlight w:val="none"/>
              </w:rPr>
            </w:pPr>
            <w:r>
              <w:rPr>
                <w:rFonts w:ascii="Times New Roman" w:hAnsi="Times New Roman" w:cs="Times New Roman"/>
                <w:spacing w:val="0"/>
                <w:kern w:val="2"/>
                <w:szCs w:val="21"/>
                <w:highlight w:val="none"/>
              </w:rPr>
              <w:t>担任何职</w:t>
            </w:r>
          </w:p>
        </w:tc>
        <w:tc>
          <w:tcPr>
            <w:tcW w:w="1229" w:type="dxa"/>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及</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noWrap w:val="0"/>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noWrap w:val="0"/>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bl>
    <w:p>
      <w:pPr>
        <w:pStyle w:val="11"/>
        <w:spacing w:line="240" w:lineRule="atLeast"/>
        <w:ind w:left="0" w:leftChars="0"/>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2、</w:t>
      </w:r>
      <w:r>
        <w:rPr>
          <w:rFonts w:ascii="Times New Roman" w:hAnsi="Times New Roman" w:eastAsia="黑体" w:cs="Times New Roman"/>
          <w:szCs w:val="21"/>
          <w:highlight w:val="none"/>
        </w:rPr>
        <w:t>在本表后应附有其有效的身份证复印件</w:t>
      </w:r>
      <w:r>
        <w:rPr>
          <w:rFonts w:hint="eastAsia" w:ascii="Times New Roman" w:hAnsi="Times New Roman" w:eastAsia="黑体" w:cs="Times New Roman"/>
          <w:szCs w:val="21"/>
          <w:highlight w:val="none"/>
        </w:rPr>
        <w:t>、</w:t>
      </w:r>
      <w:r>
        <w:rPr>
          <w:rFonts w:hint="eastAsia" w:ascii="Times New Roman" w:hAnsi="Times New Roman" w:eastAsia="黑体" w:cs="Times New Roman"/>
          <w:szCs w:val="21"/>
          <w:highlight w:val="none"/>
          <w:lang w:val="en-US" w:eastAsia="zh-CN"/>
        </w:rPr>
        <w:t>资格证书</w:t>
      </w:r>
      <w:r>
        <w:rPr>
          <w:rFonts w:ascii="Times New Roman" w:hAnsi="Times New Roman" w:eastAsia="黑体" w:cs="Times New Roman"/>
          <w:szCs w:val="21"/>
          <w:highlight w:val="none"/>
        </w:rPr>
        <w:t>复印件</w:t>
      </w:r>
      <w:r>
        <w:rPr>
          <w:rFonts w:hint="eastAsia" w:ascii="Times New Roman" w:hAnsi="Times New Roman" w:eastAsia="黑体" w:cs="Times New Roman"/>
          <w:szCs w:val="21"/>
          <w:highlight w:val="none"/>
          <w:lang w:val="en-US" w:eastAsia="zh-CN"/>
        </w:rPr>
        <w:t>、</w:t>
      </w:r>
      <w:r>
        <w:rPr>
          <w:rFonts w:hint="eastAsia" w:ascii="Times New Roman" w:hAnsi="Times New Roman" w:eastAsia="黑体" w:cs="Times New Roman"/>
          <w:szCs w:val="21"/>
          <w:highlight w:val="none"/>
        </w:rPr>
        <w:t>响应文件递交截止时间前一年内连续三个月在供应商本单位的社保缴费记录（应</w:t>
      </w:r>
      <w:r>
        <w:rPr>
          <w:rFonts w:hint="eastAsia" w:ascii="Times New Roman" w:hAnsi="Times New Roman" w:eastAsia="黑体" w:cs="Times New Roman"/>
          <w:szCs w:val="21"/>
          <w:highlight w:val="none"/>
          <w:lang w:val="en-US" w:eastAsia="zh-CN"/>
        </w:rPr>
        <w:t>至少</w:t>
      </w:r>
      <w:r>
        <w:rPr>
          <w:rFonts w:hint="eastAsia" w:ascii="Times New Roman" w:hAnsi="Times New Roman" w:eastAsia="黑体" w:cs="Times New Roman"/>
          <w:szCs w:val="21"/>
          <w:highlight w:val="none"/>
        </w:rPr>
        <w:t>包含2023年</w:t>
      </w:r>
      <w:r>
        <w:rPr>
          <w:rFonts w:hint="eastAsia" w:ascii="Times New Roman" w:hAnsi="Times New Roman" w:eastAsia="黑体" w:cs="Times New Roman"/>
          <w:szCs w:val="21"/>
          <w:highlight w:val="none"/>
          <w:lang w:val="en-US" w:eastAsia="zh-CN"/>
        </w:rPr>
        <w:t>3</w:t>
      </w:r>
      <w:r>
        <w:rPr>
          <w:rFonts w:hint="eastAsia" w:ascii="Times New Roman" w:hAnsi="Times New Roman" w:eastAsia="黑体" w:cs="Times New Roman"/>
          <w:szCs w:val="21"/>
          <w:highlight w:val="none"/>
        </w:rPr>
        <w:t>月至2023年</w:t>
      </w:r>
      <w:r>
        <w:rPr>
          <w:rFonts w:hint="eastAsia" w:ascii="Times New Roman" w:hAnsi="Times New Roman" w:eastAsia="黑体" w:cs="Times New Roman"/>
          <w:szCs w:val="21"/>
          <w:highlight w:val="none"/>
          <w:lang w:val="en-US" w:eastAsia="zh-CN"/>
        </w:rPr>
        <w:t>5</w:t>
      </w:r>
      <w:r>
        <w:rPr>
          <w:rFonts w:hint="eastAsia" w:ascii="Times New Roman" w:hAnsi="Times New Roman" w:eastAsia="黑体" w:cs="Times New Roman"/>
          <w:szCs w:val="21"/>
          <w:highlight w:val="none"/>
        </w:rPr>
        <w:t>月，社保证明材料须加盖社保中心章或社保中心参保缴费证明电子专用章复印件加盖响应人公章）</w:t>
      </w:r>
      <w:r>
        <w:rPr>
          <w:rFonts w:ascii="Times New Roman" w:hAnsi="Times New Roman" w:eastAsia="黑体" w:cs="Times New Roman"/>
          <w:szCs w:val="21"/>
          <w:highlight w:val="none"/>
        </w:rPr>
        <w:t>。所有证件的扫描件均应清晰可辨，否则，将被认为证书无效。</w:t>
      </w:r>
    </w:p>
    <w:p>
      <w:pPr>
        <w:pStyle w:val="11"/>
        <w:spacing w:after="0" w:line="240" w:lineRule="atLeast"/>
        <w:ind w:left="630" w:leftChars="100" w:hanging="420" w:hangingChars="200"/>
        <w:rPr>
          <w:rFonts w:ascii="Times New Roman" w:hAnsi="Times New Roman" w:eastAsia="黑体" w:cs="Times New Roman"/>
          <w:bCs/>
          <w:kern w:val="0"/>
          <w:szCs w:val="21"/>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pPr>
      <w:bookmarkStart w:id="262" w:name="_Toc3893_WPSOffice_Level1"/>
      <w:bookmarkStart w:id="263" w:name="_Toc9267_WPSOffice_Level1"/>
      <w:bookmarkStart w:id="264" w:name="_Toc5403_WPSOffice_Level1"/>
      <w:bookmarkStart w:id="265" w:name="_Toc12019_WPSOffice_Level1"/>
      <w:bookmarkStart w:id="266" w:name="_Toc32222_WPSOffice_Level1"/>
      <w:bookmarkStart w:id="267" w:name="_Toc8691_WPSOffice_Level1"/>
    </w:p>
    <w:p>
      <w:pPr>
        <w:tabs>
          <w:tab w:val="left" w:pos="3060"/>
        </w:tabs>
        <w:topLinePunct/>
        <w:spacing w:line="440" w:lineRule="exact"/>
        <w:jc w:val="center"/>
        <w:rPr>
          <w:rFonts w:hint="eastAsia" w:ascii="Times New Roman" w:hAnsi="Times New Roman" w:eastAsia="黑体" w:cs="Times New Roman"/>
          <w:sz w:val="28"/>
          <w:szCs w:val="28"/>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pPr>
    </w:p>
    <w:p>
      <w:pPr>
        <w:tabs>
          <w:tab w:val="left" w:pos="3060"/>
        </w:tabs>
        <w:topLinePunct/>
        <w:spacing w:line="440" w:lineRule="exact"/>
        <w:jc w:val="center"/>
        <w:rPr>
          <w:rFonts w:hint="eastAsia" w:ascii="Times New Roman" w:hAnsi="Times New Roman" w:eastAsia="黑体" w:cs="Times New Roman"/>
          <w:sz w:val="28"/>
          <w:szCs w:val="28"/>
          <w:highlight w:val="none"/>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pStyle w:val="3"/>
        <w:rPr>
          <w:rFonts w:hint="eastAsia"/>
          <w:highlight w:val="none"/>
        </w:rPr>
      </w:pPr>
    </w:p>
    <w:p>
      <w:pPr>
        <w:tabs>
          <w:tab w:val="left" w:pos="3060"/>
        </w:tabs>
        <w:topLinePunct/>
        <w:spacing w:line="440" w:lineRule="exact"/>
        <w:jc w:val="center"/>
        <w:rPr>
          <w:rFonts w:ascii="Times New Roman" w:hAnsi="Times New Roman" w:eastAsia="黑体" w:cs="Times New Roman"/>
          <w:sz w:val="28"/>
          <w:szCs w:val="28"/>
          <w:highlight w:val="none"/>
        </w:rPr>
      </w:pPr>
      <w:r>
        <w:rPr>
          <w:rFonts w:hint="eastAsia" w:ascii="Times New Roman" w:hAnsi="Times New Roman" w:eastAsia="黑体" w:cs="Times New Roman"/>
          <w:sz w:val="28"/>
          <w:szCs w:val="28"/>
          <w:highlight w:val="none"/>
        </w:rPr>
        <w:t>七</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rPr>
        <w:t>信誉情况</w:t>
      </w:r>
      <w:bookmarkEnd w:id="262"/>
      <w:bookmarkEnd w:id="263"/>
      <w:bookmarkEnd w:id="264"/>
      <w:bookmarkEnd w:id="265"/>
      <w:bookmarkEnd w:id="266"/>
      <w:bookmarkEnd w:id="267"/>
    </w:p>
    <w:p>
      <w:pPr>
        <w:topLinePunct/>
        <w:spacing w:line="440" w:lineRule="exact"/>
        <w:rPr>
          <w:rFonts w:ascii="Times New Roman" w:hAnsi="Times New Roman" w:cs="Times New Roman"/>
          <w:bCs/>
          <w:sz w:val="23"/>
          <w:szCs w:val="23"/>
          <w:highlight w:val="none"/>
        </w:rPr>
      </w:pP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项 目</w:t>
            </w:r>
          </w:p>
        </w:tc>
        <w:tc>
          <w:tcPr>
            <w:tcW w:w="4445" w:type="dxa"/>
            <w:noWrap w:val="0"/>
            <w:vAlign w:val="top"/>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是否被责令停业，暂扣或吊销执照，或吊销资质证书</w:t>
            </w:r>
          </w:p>
        </w:tc>
        <w:tc>
          <w:tcPr>
            <w:tcW w:w="4445" w:type="dxa"/>
            <w:noWrap w:val="0"/>
            <w:vAlign w:val="top"/>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是否进入清算程序，或被宣告破产，或其他丧失履约能力的情形</w:t>
            </w:r>
          </w:p>
        </w:tc>
        <w:tc>
          <w:tcPr>
            <w:tcW w:w="4445" w:type="dxa"/>
            <w:noWrap w:val="0"/>
            <w:vAlign w:val="top"/>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是否在国家企业信用信息公示系统（http://www.gsxt.gov.cn）中被列入严重违法失信企业名单</w:t>
            </w:r>
          </w:p>
        </w:tc>
        <w:tc>
          <w:tcPr>
            <w:tcW w:w="4445" w:type="dxa"/>
            <w:noWrap w:val="0"/>
            <w:vAlign w:val="top"/>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是否在“信用中国”网站（http://www.creditchina.gov.cn）中被列入失信被执行人名单</w:t>
            </w:r>
          </w:p>
        </w:tc>
        <w:tc>
          <w:tcPr>
            <w:tcW w:w="4445" w:type="dxa"/>
            <w:noWrap w:val="0"/>
            <w:vAlign w:val="top"/>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是否在近三年内（自</w:t>
            </w:r>
            <w:r>
              <w:rPr>
                <w:rFonts w:hint="eastAsia" w:ascii="Times New Roman" w:hAnsi="Times New Roman" w:cs="Times New Roman"/>
                <w:sz w:val="24"/>
                <w:szCs w:val="28"/>
                <w:highlight w:val="none"/>
              </w:rPr>
              <w:t>响应文件递交截止之日</w:t>
            </w:r>
            <w:r>
              <w:rPr>
                <w:rFonts w:ascii="Times New Roman" w:hAnsi="Times New Roman" w:cs="Times New Roman"/>
                <w:sz w:val="24"/>
                <w:szCs w:val="28"/>
                <w:highlight w:val="none"/>
              </w:rPr>
              <w:t>向前追溯3年）供应商或其法定代表人、拟委任的</w:t>
            </w:r>
            <w:r>
              <w:rPr>
                <w:rFonts w:hint="eastAsia" w:ascii="Times New Roman" w:hAnsi="Times New Roman" w:cs="Times New Roman"/>
                <w:sz w:val="24"/>
                <w:szCs w:val="28"/>
                <w:highlight w:val="none"/>
              </w:rPr>
              <w:t>项目负责人</w:t>
            </w:r>
            <w:r>
              <w:rPr>
                <w:rFonts w:ascii="Times New Roman" w:hAnsi="Times New Roman" w:cs="Times New Roman"/>
                <w:sz w:val="24"/>
                <w:szCs w:val="28"/>
                <w:highlight w:val="none"/>
              </w:rPr>
              <w:t>有行贿犯罪行为</w:t>
            </w:r>
          </w:p>
        </w:tc>
        <w:tc>
          <w:tcPr>
            <w:tcW w:w="4445" w:type="dxa"/>
            <w:noWrap w:val="0"/>
            <w:vAlign w:val="top"/>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ascii="Times New Roman" w:hAnsi="Times New Roman" w:cs="Times New Roman"/>
                <w:sz w:val="24"/>
                <w:szCs w:val="28"/>
                <w:highlight w:val="none"/>
              </w:rPr>
            </w:pPr>
            <w:r>
              <w:rPr>
                <w:rFonts w:hint="eastAsia" w:ascii="Times New Roman" w:hAnsi="Times New Roman" w:cs="Times New Roman"/>
                <w:sz w:val="24"/>
                <w:szCs w:val="28"/>
                <w:highlight w:val="none"/>
              </w:rPr>
              <w:t>……</w:t>
            </w:r>
          </w:p>
        </w:tc>
        <w:tc>
          <w:tcPr>
            <w:tcW w:w="4445" w:type="dxa"/>
            <w:noWrap w:val="0"/>
            <w:vAlign w:val="top"/>
          </w:tcPr>
          <w:p>
            <w:pPr>
              <w:topLinePunct/>
              <w:spacing w:line="440" w:lineRule="exact"/>
              <w:rPr>
                <w:rFonts w:ascii="Times New Roman" w:hAnsi="Times New Roman" w:cs="Times New Roman"/>
                <w:bCs/>
                <w:szCs w:val="21"/>
                <w:highlight w:val="none"/>
              </w:rPr>
            </w:pPr>
          </w:p>
        </w:tc>
      </w:tr>
    </w:tbl>
    <w:p>
      <w:pPr>
        <w:spacing w:line="440" w:lineRule="exact"/>
        <w:jc w:val="left"/>
        <w:rPr>
          <w:rFonts w:ascii="Times New Roman" w:hAnsi="Times New Roman" w:cs="Times New Roman"/>
          <w:sz w:val="24"/>
          <w:highlight w:val="none"/>
        </w:rPr>
      </w:pPr>
      <w:r>
        <w:rPr>
          <w:rFonts w:ascii="Times New Roman" w:hAnsi="Times New Roman" w:cs="Times New Roman"/>
          <w:sz w:val="24"/>
          <w:highlight w:val="none"/>
        </w:rPr>
        <w:t>注：本表无需附证明材料。</w:t>
      </w:r>
    </w:p>
    <w:p>
      <w:pPr>
        <w:pStyle w:val="2"/>
        <w:jc w:val="right"/>
        <w:rPr>
          <w:rFonts w:ascii="Times New Roman" w:hAnsi="Times New Roman" w:cs="Times New Roman"/>
          <w:sz w:val="24"/>
          <w:highlight w:val="none"/>
        </w:rPr>
      </w:pPr>
    </w:p>
    <w:p>
      <w:pPr>
        <w:spacing w:line="440" w:lineRule="exact"/>
        <w:jc w:val="righ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pStyle w:val="2"/>
        <w:jc w:val="right"/>
        <w:rPr>
          <w:highlight w:val="none"/>
          <w:u w:val="singl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pStyle w:val="2"/>
        <w:rPr>
          <w:highlight w:val="none"/>
        </w:rPr>
      </w:pPr>
    </w:p>
    <w:p>
      <w:pPr>
        <w:pStyle w:val="2"/>
        <w:spacing w:line="440" w:lineRule="exact"/>
        <w:rPr>
          <w:rFonts w:ascii="Times New Roman" w:hAnsi="Times New Roman" w:cs="Times New Roman"/>
          <w:sz w:val="24"/>
          <w:highlight w:val="none"/>
        </w:rPr>
      </w:pPr>
    </w:p>
    <w:p>
      <w:pPr>
        <w:spacing w:line="400" w:lineRule="atLeast"/>
        <w:jc w:val="center"/>
        <w:rPr>
          <w:rFonts w:ascii="Times New Roman" w:hAnsi="Times New Roman" w:cs="Times New Roman"/>
          <w:sz w:val="24"/>
          <w:highlight w:val="none"/>
        </w:rPr>
      </w:pPr>
      <w:r>
        <w:rPr>
          <w:rFonts w:ascii="Times New Roman" w:hAnsi="Times New Roman" w:eastAsia="黑体" w:cs="Times New Roman"/>
          <w:sz w:val="27"/>
          <w:szCs w:val="27"/>
          <w:highlight w:val="none"/>
        </w:rPr>
        <w:br w:type="page"/>
      </w:r>
    </w:p>
    <w:p>
      <w:pPr>
        <w:spacing w:line="440" w:lineRule="exact"/>
        <w:jc w:val="center"/>
        <w:rPr>
          <w:rFonts w:ascii="Times New Roman" w:hAnsi="Times New Roman" w:eastAsia="黑体" w:cs="Times New Roman"/>
          <w:sz w:val="28"/>
          <w:szCs w:val="28"/>
          <w:highlight w:val="none"/>
        </w:rPr>
      </w:pPr>
      <w:bookmarkStart w:id="268" w:name="_Toc1483_WPSOffice_Level1"/>
      <w:bookmarkStart w:id="269" w:name="_Toc23493_WPSOffice_Level1"/>
      <w:bookmarkStart w:id="270" w:name="_Toc2048_WPSOffice_Level1"/>
      <w:bookmarkStart w:id="271" w:name="_Toc24999_WPSOffice_Level1"/>
      <w:bookmarkStart w:id="272" w:name="_Toc29660_WPSOffice_Level1"/>
      <w:bookmarkStart w:id="273" w:name="_Toc31596_WPSOffice_Level1"/>
      <w:r>
        <w:rPr>
          <w:rFonts w:hint="eastAsia" w:ascii="Times New Roman" w:hAnsi="Times New Roman" w:eastAsia="黑体" w:cs="Times New Roman"/>
          <w:sz w:val="28"/>
          <w:szCs w:val="28"/>
          <w:highlight w:val="none"/>
        </w:rPr>
        <w:t>八</w:t>
      </w:r>
      <w:r>
        <w:rPr>
          <w:rFonts w:ascii="Times New Roman" w:hAnsi="Times New Roman" w:eastAsia="黑体" w:cs="Times New Roman"/>
          <w:sz w:val="28"/>
          <w:szCs w:val="28"/>
          <w:highlight w:val="none"/>
        </w:rPr>
        <w:t>、</w:t>
      </w:r>
      <w:bookmarkEnd w:id="268"/>
      <w:bookmarkEnd w:id="269"/>
      <w:bookmarkEnd w:id="270"/>
      <w:bookmarkEnd w:id="271"/>
      <w:r>
        <w:rPr>
          <w:rFonts w:hint="eastAsia" w:ascii="Times New Roman" w:hAnsi="Times New Roman" w:eastAsia="黑体" w:cs="Times New Roman"/>
          <w:sz w:val="28"/>
          <w:szCs w:val="28"/>
          <w:highlight w:val="none"/>
          <w:lang w:val="en-US" w:eastAsia="zh-CN"/>
        </w:rPr>
        <w:t>服务</w:t>
      </w:r>
      <w:r>
        <w:rPr>
          <w:rFonts w:hint="eastAsia" w:ascii="Times New Roman" w:hAnsi="Times New Roman" w:eastAsia="黑体" w:cs="Times New Roman"/>
          <w:sz w:val="28"/>
          <w:szCs w:val="28"/>
          <w:highlight w:val="none"/>
        </w:rPr>
        <w:t>方案</w:t>
      </w:r>
      <w:bookmarkEnd w:id="272"/>
      <w:bookmarkEnd w:id="273"/>
    </w:p>
    <w:p>
      <w:pPr>
        <w:spacing w:line="440" w:lineRule="exact"/>
        <w:rPr>
          <w:rFonts w:ascii="Times New Roman" w:hAnsi="Times New Roman" w:eastAsia="黑体" w:cs="Times New Roman"/>
          <w:sz w:val="20"/>
          <w:szCs w:val="20"/>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供应商应按</w:t>
      </w:r>
      <w:r>
        <w:rPr>
          <w:rFonts w:hint="eastAsia" w:ascii="Times New Roman" w:hAnsi="Times New Roman" w:cs="Times New Roman"/>
          <w:sz w:val="24"/>
          <w:highlight w:val="none"/>
        </w:rPr>
        <w:t>项目特点</w:t>
      </w:r>
      <w:r>
        <w:rPr>
          <w:rFonts w:ascii="Times New Roman" w:hAnsi="Times New Roman" w:cs="Times New Roman"/>
          <w:sz w:val="24"/>
          <w:highlight w:val="none"/>
        </w:rPr>
        <w:t>编制</w:t>
      </w:r>
      <w:r>
        <w:rPr>
          <w:rFonts w:hint="eastAsia" w:ascii="Times New Roman" w:hAnsi="Times New Roman" w:cs="Times New Roman"/>
          <w:sz w:val="24"/>
          <w:highlight w:val="none"/>
        </w:rPr>
        <w:t>技术方案</w:t>
      </w:r>
      <w:r>
        <w:rPr>
          <w:rFonts w:ascii="Times New Roman" w:hAnsi="Times New Roman" w:cs="Times New Roman"/>
          <w:sz w:val="24"/>
          <w:highlight w:val="none"/>
        </w:rPr>
        <w:t>(文字宜精炼、内容具有针对性)</w:t>
      </w:r>
      <w:r>
        <w:rPr>
          <w:rFonts w:hint="eastAsia" w:ascii="Times New Roman" w:hAnsi="Times New Roman" w:cs="Times New Roman"/>
          <w:sz w:val="24"/>
          <w:highlight w:val="none"/>
        </w:rPr>
        <w:t>。</w:t>
      </w:r>
    </w:p>
    <w:p>
      <w:pPr>
        <w:numPr>
          <w:ilvl w:val="0"/>
          <w:numId w:val="0"/>
        </w:numPr>
        <w:rPr>
          <w:rFonts w:ascii="Times New Roman" w:hAnsi="Times New Roman" w:cs="Times New Roman"/>
          <w:sz w:val="24"/>
          <w:highlight w:val="none"/>
        </w:rPr>
      </w:pPr>
      <w:bookmarkStart w:id="274" w:name="_Toc16609_WPSOffice_Level2"/>
      <w:bookmarkStart w:id="275" w:name="_Toc4794_WPSOffice_Level2"/>
      <w:r>
        <w:rPr>
          <w:rFonts w:ascii="Times New Roman" w:hAnsi="Times New Roman" w:cs="Times New Roman"/>
          <w:sz w:val="24"/>
          <w:highlight w:val="none"/>
        </w:rPr>
        <w:br w:type="page"/>
      </w:r>
    </w:p>
    <w:bookmarkEnd w:id="274"/>
    <w:bookmarkEnd w:id="275"/>
    <w:p>
      <w:pPr>
        <w:spacing w:line="440" w:lineRule="exact"/>
        <w:jc w:val="center"/>
        <w:rPr>
          <w:rFonts w:ascii="Times New Roman" w:hAnsi="Times New Roman" w:eastAsia="黑体" w:cs="Times New Roman"/>
          <w:sz w:val="28"/>
          <w:szCs w:val="28"/>
          <w:highlight w:val="none"/>
        </w:rPr>
      </w:pPr>
      <w:bookmarkStart w:id="276" w:name="_Toc22303_WPSOffice_Level1"/>
      <w:bookmarkStart w:id="277" w:name="_Toc13165_WPSOffice_Level1"/>
      <w:bookmarkStart w:id="278" w:name="_Toc2428_WPSOffice_Level1"/>
      <w:bookmarkStart w:id="279" w:name="_Toc11219_WPSOffice_Level1"/>
      <w:bookmarkStart w:id="280" w:name="_Toc15887_WPSOffice_Level1"/>
      <w:bookmarkStart w:id="281" w:name="_Toc12889_WPSOffice_Level1"/>
      <w:r>
        <w:rPr>
          <w:rFonts w:hint="eastAsia" w:ascii="Times New Roman" w:hAnsi="Times New Roman" w:eastAsia="黑体" w:cs="Times New Roman"/>
          <w:sz w:val="28"/>
          <w:szCs w:val="28"/>
          <w:highlight w:val="none"/>
        </w:rPr>
        <w:t>九</w:t>
      </w:r>
      <w:r>
        <w:rPr>
          <w:rFonts w:ascii="Times New Roman" w:hAnsi="Times New Roman" w:eastAsia="黑体" w:cs="Times New Roman"/>
          <w:sz w:val="28"/>
          <w:szCs w:val="28"/>
          <w:highlight w:val="none"/>
        </w:rPr>
        <w:t>、其它</w:t>
      </w:r>
      <w:bookmarkEnd w:id="276"/>
      <w:r>
        <w:rPr>
          <w:rFonts w:ascii="Times New Roman" w:hAnsi="Times New Roman" w:eastAsia="黑体" w:cs="Times New Roman"/>
          <w:sz w:val="28"/>
          <w:szCs w:val="28"/>
          <w:highlight w:val="none"/>
        </w:rPr>
        <w:t>材料</w:t>
      </w:r>
      <w:bookmarkEnd w:id="277"/>
      <w:bookmarkEnd w:id="278"/>
      <w:bookmarkEnd w:id="279"/>
      <w:bookmarkEnd w:id="280"/>
      <w:bookmarkEnd w:id="281"/>
    </w:p>
    <w:p>
      <w:pPr>
        <w:pStyle w:val="3"/>
        <w:rPr>
          <w:rFonts w:hint="default" w:ascii="Times New Roman" w:hAnsi="Times New Roman"/>
          <w:color w:val="auto"/>
          <w:szCs w:val="28"/>
          <w:highlight w:val="none"/>
        </w:rPr>
      </w:pPr>
    </w:p>
    <w:p>
      <w:pPr>
        <w:pStyle w:val="3"/>
        <w:rPr>
          <w:rFonts w:hint="default" w:ascii="Times New Roman" w:hAnsi="Times New Roman"/>
          <w:color w:val="auto"/>
          <w:szCs w:val="28"/>
          <w:highlight w:val="none"/>
        </w:rPr>
      </w:pPr>
      <w:r>
        <w:rPr>
          <w:rFonts w:hint="eastAsia" w:ascii="Times New Roman" w:hAnsi="Times New Roman"/>
          <w:color w:val="auto"/>
          <w:szCs w:val="28"/>
          <w:highlight w:val="none"/>
        </w:rPr>
        <w:t>响应单位认为有必要提供的其他说明或声明等资料</w:t>
      </w:r>
      <w:r>
        <w:rPr>
          <w:rFonts w:ascii="Times New Roman" w:hAnsi="Times New Roman"/>
          <w:color w:val="auto"/>
          <w:szCs w:val="28"/>
          <w:highlight w:val="none"/>
        </w:rPr>
        <w:t>。</w:t>
      </w:r>
    </w:p>
    <w:p>
      <w:pPr>
        <w:spacing w:line="400" w:lineRule="atLeast"/>
        <w:jc w:val="left"/>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7C1575-55DE-4A22-B995-40ED65F0D7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1D6080C-DCE9-4109-981C-22EF7B63000D}"/>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94088866-6F5F-4C6C-8BB3-A846A530435D}"/>
  </w:font>
  <w:font w:name="Calibri Light">
    <w:panose1 w:val="020F0302020204030204"/>
    <w:charset w:val="00"/>
    <w:family w:val="auto"/>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embedRegular r:id="rId4" w:fontKey="{C8D7D038-35EF-4106-BCD1-CF8FB1BB6C04}"/>
  </w:font>
  <w:font w:name="仿宋">
    <w:panose1 w:val="02010609060101010101"/>
    <w:charset w:val="86"/>
    <w:family w:val="modern"/>
    <w:pitch w:val="default"/>
    <w:sig w:usb0="800002BF" w:usb1="38CF7CFA" w:usb2="00000016" w:usb3="00000000" w:csb0="00040001" w:csb1="00000000"/>
    <w:embedRegular r:id="rId5" w:fontKey="{E3F5CCDF-1982-4C0F-AF9E-CB10E31C520F}"/>
  </w:font>
  <w:font w:name="等线">
    <w:panose1 w:val="02010600030101010101"/>
    <w:charset w:val="86"/>
    <w:family w:val="auto"/>
    <w:pitch w:val="default"/>
    <w:sig w:usb0="A00002BF" w:usb1="38CF7CFA" w:usb2="00000016" w:usb3="00000000" w:csb0="0004000F" w:csb1="00000000"/>
    <w:embedRegular r:id="rId6" w:fontKey="{B422D9DB-5B1B-4A86-ABC7-5939293AD91B}"/>
  </w:font>
  <w:font w:name="楷体_GB2312">
    <w:panose1 w:val="02010609030101010101"/>
    <w:charset w:val="86"/>
    <w:family w:val="modern"/>
    <w:pitch w:val="default"/>
    <w:sig w:usb0="00000001" w:usb1="080E0000" w:usb2="00000000" w:usb3="00000000" w:csb0="00040000" w:csb1="00000000"/>
    <w:embedRegular r:id="rId7" w:fontKey="{3B0A2987-59A6-4493-99A3-CB48220FFD20}"/>
  </w:font>
  <w:font w:name="楷体">
    <w:panose1 w:val="02010609060101010101"/>
    <w:charset w:val="86"/>
    <w:family w:val="auto"/>
    <w:pitch w:val="default"/>
    <w:sig w:usb0="800002BF" w:usb1="38CF7CFA" w:usb2="00000016" w:usb3="00000000" w:csb0="00040001" w:csb1="00000000"/>
    <w:embedRegular r:id="rId8" w:fontKey="{D92D146D-9CBE-4F65-A0F3-2C549930B2A3}"/>
  </w:font>
  <w:font w:name="方正小标宋简体">
    <w:panose1 w:val="03000509000000000000"/>
    <w:charset w:val="86"/>
    <w:family w:val="auto"/>
    <w:pitch w:val="default"/>
    <w:sig w:usb0="00000001" w:usb1="080E0000" w:usb2="00000000" w:usb3="00000000" w:csb0="00040000" w:csb1="00000000"/>
    <w:embedRegular r:id="rId9" w:fontKey="{9CCB3E6D-A762-40B2-9F43-D75F7A4E07AD}"/>
  </w:font>
  <w:font w:name="方正仿宋_GBK">
    <w:altName w:val="Arial Unicode MS"/>
    <w:panose1 w:val="02000000000000000000"/>
    <w:charset w:val="86"/>
    <w:family w:val="auto"/>
    <w:pitch w:val="default"/>
    <w:sig w:usb0="00000000" w:usb1="00000000" w:usb2="00000000" w:usb3="00000000" w:csb0="00160000" w:csb1="00000000"/>
    <w:embedRegular r:id="rId10" w:fontKey="{9DC9B6F5-1D31-4DB5-B025-98E74A4F1597}"/>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Di5A47jAQAAzAMAAA4A&#10;AAAAAAAAAQAgAAAAHgEAAGRycy9lMm9Eb2MueG1sUEsFBgAAAAAGAAYAWQEAAHMFAAAAAA==&#10;">
              <v:fill on="f" focussize="0,0"/>
              <v:stroke on="f"/>
              <v:imagedata o:title=""/>
              <o:lock v:ext="edit" aspectratio="f"/>
              <v:textbox inset="0mm,0mm,0mm,0mm" style="mso-fit-shape-to-text:t;">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fldChar w:fldCharType="begin"/>
                          </w:r>
                          <w:r>
                            <w:rPr>
                              <w:rStyle w:val="28"/>
                            </w:rPr>
                            <w:instrText xml:space="preserve"> PAGE </w:instrText>
                          </w:r>
                          <w:r>
                            <w:fldChar w:fldCharType="separate"/>
                          </w:r>
                          <w:r>
                            <w:rPr>
                              <w:rStyle w:val="28"/>
                            </w:rPr>
                            <w:t>- 131 -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rPr>
                        <w:rStyle w:val="28"/>
                      </w:rPr>
                      <w:instrText xml:space="preserve"> PAGE </w:instrText>
                    </w:r>
                    <w:r>
                      <w:fldChar w:fldCharType="separate"/>
                    </w:r>
                    <w:r>
                      <w:rPr>
                        <w:rStyle w:val="28"/>
                      </w:rPr>
                      <w:t>- 131 -</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MW8oRXjAQAAzAMAAA4A&#10;AAAAAAAAAQAgAAAAHgEAAGRycy9lMm9Eb2MueG1sUEsFBgAAAAAGAAYAWQEAAHMFAAAAAA==&#10;">
              <v:fill on="f" focussize="0,0"/>
              <v:stroke on="f"/>
              <v:imagedata o:title=""/>
              <o:lock v:ext="edit" aspectratio="f"/>
              <v:textbox inset="0mm,0mm,0mm,0mm" style="mso-fit-shape-to-text:t;">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01D7B5A"/>
    <w:multiLevelType w:val="singleLevel"/>
    <w:tmpl w:val="C01D7B5A"/>
    <w:lvl w:ilvl="0" w:tentative="0">
      <w:start w:val="2"/>
      <w:numFmt w:val="decimal"/>
      <w:suff w:val="nothing"/>
      <w:lvlText w:val="（%1）"/>
      <w:lvlJc w:val="left"/>
    </w:lvl>
  </w:abstractNum>
  <w:abstractNum w:abstractNumId="2">
    <w:nsid w:val="C5A22A04"/>
    <w:multiLevelType w:val="multilevel"/>
    <w:tmpl w:val="C5A22A0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F0AA404"/>
    <w:multiLevelType w:val="singleLevel"/>
    <w:tmpl w:val="0F0AA404"/>
    <w:lvl w:ilvl="0" w:tentative="0">
      <w:start w:val="1"/>
      <w:numFmt w:val="decimal"/>
      <w:lvlText w:val="(%1)"/>
      <w:lvlJc w:val="left"/>
      <w:pPr>
        <w:tabs>
          <w:tab w:val="left" w:pos="420"/>
        </w:tabs>
        <w:ind w:left="845" w:hanging="425"/>
      </w:pPr>
      <w:rPr>
        <w:rFonts w:hint="default"/>
      </w:rPr>
    </w:lvl>
  </w:abstractNum>
  <w:abstractNum w:abstractNumId="4">
    <w:nsid w:val="1F2919BC"/>
    <w:multiLevelType w:val="multilevel"/>
    <w:tmpl w:val="1F2919BC"/>
    <w:lvl w:ilvl="0" w:tentative="0">
      <w:start w:val="1"/>
      <w:numFmt w:val="decimalEnclosedCircle"/>
      <w:lvlText w:val="%1"/>
      <w:lvlJc w:val="left"/>
      <w:pPr>
        <w:ind w:left="780" w:hanging="360"/>
      </w:pPr>
      <w:rPr>
        <w:rFonts w:hint="default"/>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6910740"/>
    <w:multiLevelType w:val="singleLevel"/>
    <w:tmpl w:val="26910740"/>
    <w:lvl w:ilvl="0" w:tentative="0">
      <w:start w:val="1"/>
      <w:numFmt w:val="chineseCounting"/>
      <w:suff w:val="nothing"/>
      <w:lvlText w:val="（%1）"/>
      <w:lvlJc w:val="left"/>
      <w:rPr>
        <w:rFonts w:hint="eastAsia"/>
      </w:rPr>
    </w:lvl>
  </w:abstractNum>
  <w:abstractNum w:abstractNumId="6">
    <w:nsid w:val="2E95D47B"/>
    <w:multiLevelType w:val="singleLevel"/>
    <w:tmpl w:val="2E95D47B"/>
    <w:lvl w:ilvl="0" w:tentative="0">
      <w:start w:val="1"/>
      <w:numFmt w:val="decimal"/>
      <w:pStyle w:val="5"/>
      <w:suff w:val="nothing"/>
      <w:lvlText w:val="%1．"/>
      <w:lvlJc w:val="left"/>
      <w:pPr>
        <w:ind w:left="17" w:firstLine="400"/>
      </w:pPr>
      <w:rPr>
        <w:rFonts w:hint="default"/>
      </w:rPr>
    </w:lvl>
  </w:abstractNum>
  <w:abstractNum w:abstractNumId="7">
    <w:nsid w:val="2F620F1A"/>
    <w:multiLevelType w:val="multilevel"/>
    <w:tmpl w:val="2F620F1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EA41D1D"/>
    <w:multiLevelType w:val="multilevel"/>
    <w:tmpl w:val="7EA41D1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6"/>
  </w:num>
  <w:num w:numId="3">
    <w:abstractNumId w:val="1"/>
  </w:num>
  <w:num w:numId="4">
    <w:abstractNumId w:val="4"/>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YmZiM2VhZDA0OTE1OWNiNzYzM2IxNDk2MzY1ODQifQ=="/>
  </w:docVars>
  <w:rsids>
    <w:rsidRoot w:val="00984BC1"/>
    <w:rsid w:val="00126DE8"/>
    <w:rsid w:val="001659E6"/>
    <w:rsid w:val="0024438E"/>
    <w:rsid w:val="00286930"/>
    <w:rsid w:val="003C6A6E"/>
    <w:rsid w:val="00466F51"/>
    <w:rsid w:val="004932B8"/>
    <w:rsid w:val="00512041"/>
    <w:rsid w:val="005B1C62"/>
    <w:rsid w:val="00774C23"/>
    <w:rsid w:val="007F0E50"/>
    <w:rsid w:val="007F289D"/>
    <w:rsid w:val="008B5E97"/>
    <w:rsid w:val="0097239F"/>
    <w:rsid w:val="00984BC1"/>
    <w:rsid w:val="00A36BEA"/>
    <w:rsid w:val="00A6306F"/>
    <w:rsid w:val="00AE1115"/>
    <w:rsid w:val="00AF0DA2"/>
    <w:rsid w:val="00B56F3C"/>
    <w:rsid w:val="00E214CC"/>
    <w:rsid w:val="00ED7B29"/>
    <w:rsid w:val="00F43DE7"/>
    <w:rsid w:val="00F61FA7"/>
    <w:rsid w:val="00FA1044"/>
    <w:rsid w:val="00FD2626"/>
    <w:rsid w:val="01082DCE"/>
    <w:rsid w:val="01196377"/>
    <w:rsid w:val="011A27E6"/>
    <w:rsid w:val="011B4B0A"/>
    <w:rsid w:val="011D6ED0"/>
    <w:rsid w:val="013C7065"/>
    <w:rsid w:val="014D641B"/>
    <w:rsid w:val="015F1B0A"/>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8C1805"/>
    <w:rsid w:val="04A52713"/>
    <w:rsid w:val="04A61CAB"/>
    <w:rsid w:val="04B113C8"/>
    <w:rsid w:val="04B66E9B"/>
    <w:rsid w:val="04DF02F5"/>
    <w:rsid w:val="04E84DE3"/>
    <w:rsid w:val="04EA65EC"/>
    <w:rsid w:val="04F54297"/>
    <w:rsid w:val="04F76AAC"/>
    <w:rsid w:val="04F95D73"/>
    <w:rsid w:val="050022AA"/>
    <w:rsid w:val="05162632"/>
    <w:rsid w:val="0523163B"/>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5B3392"/>
    <w:rsid w:val="066756C3"/>
    <w:rsid w:val="066E7995"/>
    <w:rsid w:val="0671119D"/>
    <w:rsid w:val="068C07A0"/>
    <w:rsid w:val="069C2279"/>
    <w:rsid w:val="06A96A7B"/>
    <w:rsid w:val="06C75E0F"/>
    <w:rsid w:val="06CD2659"/>
    <w:rsid w:val="06D9617D"/>
    <w:rsid w:val="06E209B7"/>
    <w:rsid w:val="06EE5449"/>
    <w:rsid w:val="071D3AEF"/>
    <w:rsid w:val="071F775B"/>
    <w:rsid w:val="0725414F"/>
    <w:rsid w:val="072B0FB7"/>
    <w:rsid w:val="073E4D0F"/>
    <w:rsid w:val="07447CE8"/>
    <w:rsid w:val="076A77E3"/>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8F67AB4"/>
    <w:rsid w:val="09033D88"/>
    <w:rsid w:val="091033C7"/>
    <w:rsid w:val="092454AE"/>
    <w:rsid w:val="094350D2"/>
    <w:rsid w:val="09520EC1"/>
    <w:rsid w:val="09522E65"/>
    <w:rsid w:val="096126C2"/>
    <w:rsid w:val="098175B4"/>
    <w:rsid w:val="09904735"/>
    <w:rsid w:val="09A1577F"/>
    <w:rsid w:val="09B1743D"/>
    <w:rsid w:val="09BF3C5F"/>
    <w:rsid w:val="09EC3543"/>
    <w:rsid w:val="0A017749"/>
    <w:rsid w:val="0A31325F"/>
    <w:rsid w:val="0A433EA3"/>
    <w:rsid w:val="0A4C0A53"/>
    <w:rsid w:val="0A562E5C"/>
    <w:rsid w:val="0A595E3B"/>
    <w:rsid w:val="0A6D4428"/>
    <w:rsid w:val="0A6F756C"/>
    <w:rsid w:val="0A70103F"/>
    <w:rsid w:val="0A78485B"/>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4C7D9E"/>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28756C"/>
    <w:rsid w:val="1139732F"/>
    <w:rsid w:val="114A7510"/>
    <w:rsid w:val="114C67B8"/>
    <w:rsid w:val="115A53BC"/>
    <w:rsid w:val="116479F0"/>
    <w:rsid w:val="11696085"/>
    <w:rsid w:val="117A2D8F"/>
    <w:rsid w:val="118E75B9"/>
    <w:rsid w:val="1194155A"/>
    <w:rsid w:val="119C1623"/>
    <w:rsid w:val="11A66257"/>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63407"/>
    <w:rsid w:val="12DC2AAB"/>
    <w:rsid w:val="12E74E3F"/>
    <w:rsid w:val="12ED7F8F"/>
    <w:rsid w:val="12F04674"/>
    <w:rsid w:val="12F63398"/>
    <w:rsid w:val="12FE1AE7"/>
    <w:rsid w:val="130C6CE3"/>
    <w:rsid w:val="13161593"/>
    <w:rsid w:val="13190BA4"/>
    <w:rsid w:val="13293F8A"/>
    <w:rsid w:val="132A5815"/>
    <w:rsid w:val="13356A71"/>
    <w:rsid w:val="134854F2"/>
    <w:rsid w:val="13594F2D"/>
    <w:rsid w:val="13714DE1"/>
    <w:rsid w:val="13A70B15"/>
    <w:rsid w:val="13B72E13"/>
    <w:rsid w:val="13BA32C6"/>
    <w:rsid w:val="13DB629F"/>
    <w:rsid w:val="13DE4A24"/>
    <w:rsid w:val="14003B68"/>
    <w:rsid w:val="14077165"/>
    <w:rsid w:val="140A4876"/>
    <w:rsid w:val="14231FAC"/>
    <w:rsid w:val="14264818"/>
    <w:rsid w:val="14465682"/>
    <w:rsid w:val="145378D4"/>
    <w:rsid w:val="1463315F"/>
    <w:rsid w:val="14664519"/>
    <w:rsid w:val="146F09C5"/>
    <w:rsid w:val="147441B4"/>
    <w:rsid w:val="14745B8C"/>
    <w:rsid w:val="14832530"/>
    <w:rsid w:val="14936D19"/>
    <w:rsid w:val="14F33B67"/>
    <w:rsid w:val="151E62FD"/>
    <w:rsid w:val="151F03B5"/>
    <w:rsid w:val="153A65BE"/>
    <w:rsid w:val="15422B45"/>
    <w:rsid w:val="15472462"/>
    <w:rsid w:val="155838BF"/>
    <w:rsid w:val="156629A4"/>
    <w:rsid w:val="156A38D6"/>
    <w:rsid w:val="1584295D"/>
    <w:rsid w:val="158735B1"/>
    <w:rsid w:val="15895244"/>
    <w:rsid w:val="159E013D"/>
    <w:rsid w:val="15AF41C1"/>
    <w:rsid w:val="15BA0961"/>
    <w:rsid w:val="15BC6BCB"/>
    <w:rsid w:val="15D32868"/>
    <w:rsid w:val="15DD5B72"/>
    <w:rsid w:val="15EE1192"/>
    <w:rsid w:val="15F53A15"/>
    <w:rsid w:val="15FD0081"/>
    <w:rsid w:val="161713B9"/>
    <w:rsid w:val="161D3F46"/>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7F515C9"/>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8C4999"/>
    <w:rsid w:val="1B941FF2"/>
    <w:rsid w:val="1BB019DC"/>
    <w:rsid w:val="1BB91E00"/>
    <w:rsid w:val="1BC0329E"/>
    <w:rsid w:val="1BC863D0"/>
    <w:rsid w:val="1BEF1A51"/>
    <w:rsid w:val="1C01157A"/>
    <w:rsid w:val="1C0F0A4F"/>
    <w:rsid w:val="1C28234F"/>
    <w:rsid w:val="1C337FF5"/>
    <w:rsid w:val="1C346708"/>
    <w:rsid w:val="1C3B4532"/>
    <w:rsid w:val="1C3F63C6"/>
    <w:rsid w:val="1C495A9B"/>
    <w:rsid w:val="1C4A4F18"/>
    <w:rsid w:val="1C4C62F2"/>
    <w:rsid w:val="1C5A616E"/>
    <w:rsid w:val="1C5E5E30"/>
    <w:rsid w:val="1C6063BC"/>
    <w:rsid w:val="1C677760"/>
    <w:rsid w:val="1C8342C9"/>
    <w:rsid w:val="1C835541"/>
    <w:rsid w:val="1CA63F16"/>
    <w:rsid w:val="1CB63D17"/>
    <w:rsid w:val="1CBE15B8"/>
    <w:rsid w:val="1CC70AAE"/>
    <w:rsid w:val="1CF93C71"/>
    <w:rsid w:val="1CF97B60"/>
    <w:rsid w:val="1D030883"/>
    <w:rsid w:val="1D1C3592"/>
    <w:rsid w:val="1D1D75F2"/>
    <w:rsid w:val="1D330136"/>
    <w:rsid w:val="1D5039A9"/>
    <w:rsid w:val="1D670B14"/>
    <w:rsid w:val="1D924EB5"/>
    <w:rsid w:val="1D9F65B1"/>
    <w:rsid w:val="1DA002EB"/>
    <w:rsid w:val="1DAB466C"/>
    <w:rsid w:val="1DD7785D"/>
    <w:rsid w:val="1DE0242C"/>
    <w:rsid w:val="1DE02E8C"/>
    <w:rsid w:val="1DF84907"/>
    <w:rsid w:val="1DFB418B"/>
    <w:rsid w:val="1E000CD5"/>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1045"/>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54948"/>
    <w:rsid w:val="200C298F"/>
    <w:rsid w:val="201C54FE"/>
    <w:rsid w:val="202A4D90"/>
    <w:rsid w:val="20435529"/>
    <w:rsid w:val="20517E69"/>
    <w:rsid w:val="20530F08"/>
    <w:rsid w:val="20542ED4"/>
    <w:rsid w:val="2066350B"/>
    <w:rsid w:val="208701DC"/>
    <w:rsid w:val="20942936"/>
    <w:rsid w:val="20AD1511"/>
    <w:rsid w:val="20AE71CD"/>
    <w:rsid w:val="20C75587"/>
    <w:rsid w:val="20DD7EA1"/>
    <w:rsid w:val="20EC6F0D"/>
    <w:rsid w:val="20EF3849"/>
    <w:rsid w:val="21037F22"/>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B35C48"/>
    <w:rsid w:val="22C438D9"/>
    <w:rsid w:val="22C90127"/>
    <w:rsid w:val="22D008F7"/>
    <w:rsid w:val="22D42D6B"/>
    <w:rsid w:val="22D810F2"/>
    <w:rsid w:val="22DF5D82"/>
    <w:rsid w:val="22E9418C"/>
    <w:rsid w:val="22FD581D"/>
    <w:rsid w:val="231A6446"/>
    <w:rsid w:val="23200D04"/>
    <w:rsid w:val="23252F62"/>
    <w:rsid w:val="2329015A"/>
    <w:rsid w:val="233D41F6"/>
    <w:rsid w:val="233E1D9D"/>
    <w:rsid w:val="23471C6C"/>
    <w:rsid w:val="235A23F9"/>
    <w:rsid w:val="236521A9"/>
    <w:rsid w:val="23690BF3"/>
    <w:rsid w:val="238A746E"/>
    <w:rsid w:val="23A70DB3"/>
    <w:rsid w:val="23D003FB"/>
    <w:rsid w:val="23E06FF0"/>
    <w:rsid w:val="23F26B67"/>
    <w:rsid w:val="242B741A"/>
    <w:rsid w:val="242D045C"/>
    <w:rsid w:val="24321DFA"/>
    <w:rsid w:val="243D4A85"/>
    <w:rsid w:val="24530C8F"/>
    <w:rsid w:val="24636547"/>
    <w:rsid w:val="2470600F"/>
    <w:rsid w:val="24717D47"/>
    <w:rsid w:val="24883A94"/>
    <w:rsid w:val="249C788A"/>
    <w:rsid w:val="24B82B32"/>
    <w:rsid w:val="24BB6D5B"/>
    <w:rsid w:val="24DC6375"/>
    <w:rsid w:val="24F755BB"/>
    <w:rsid w:val="24FA5375"/>
    <w:rsid w:val="25167458"/>
    <w:rsid w:val="25180C07"/>
    <w:rsid w:val="251E581D"/>
    <w:rsid w:val="252837FB"/>
    <w:rsid w:val="252A368C"/>
    <w:rsid w:val="25306483"/>
    <w:rsid w:val="253317B8"/>
    <w:rsid w:val="2537641D"/>
    <w:rsid w:val="253C3EF7"/>
    <w:rsid w:val="254035ED"/>
    <w:rsid w:val="2558795E"/>
    <w:rsid w:val="255E089E"/>
    <w:rsid w:val="255E515A"/>
    <w:rsid w:val="257F5882"/>
    <w:rsid w:val="25987884"/>
    <w:rsid w:val="25BF330D"/>
    <w:rsid w:val="25C27A7C"/>
    <w:rsid w:val="25C76039"/>
    <w:rsid w:val="25E31DB1"/>
    <w:rsid w:val="25E33D2D"/>
    <w:rsid w:val="25F341F9"/>
    <w:rsid w:val="25FD4EFD"/>
    <w:rsid w:val="2603678D"/>
    <w:rsid w:val="26050C41"/>
    <w:rsid w:val="26065BCC"/>
    <w:rsid w:val="260B453C"/>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A6428"/>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307FB"/>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C0200F"/>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D23073"/>
    <w:rsid w:val="2BE3479D"/>
    <w:rsid w:val="2BFB3F34"/>
    <w:rsid w:val="2C052D2F"/>
    <w:rsid w:val="2C0E0D00"/>
    <w:rsid w:val="2C19133D"/>
    <w:rsid w:val="2C1A1B3D"/>
    <w:rsid w:val="2C221397"/>
    <w:rsid w:val="2C81653D"/>
    <w:rsid w:val="2CB9247E"/>
    <w:rsid w:val="2CF42A2C"/>
    <w:rsid w:val="2D087520"/>
    <w:rsid w:val="2D1547AA"/>
    <w:rsid w:val="2D1C0C8B"/>
    <w:rsid w:val="2D500625"/>
    <w:rsid w:val="2D511CF8"/>
    <w:rsid w:val="2D7D5F99"/>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EE82B94"/>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BA0ABA"/>
    <w:rsid w:val="30EA2FCA"/>
    <w:rsid w:val="31130579"/>
    <w:rsid w:val="31150AF7"/>
    <w:rsid w:val="312977F5"/>
    <w:rsid w:val="31307046"/>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0402E6"/>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9E097D"/>
    <w:rsid w:val="36AC26B2"/>
    <w:rsid w:val="36C81B5B"/>
    <w:rsid w:val="36CA4796"/>
    <w:rsid w:val="36CD7724"/>
    <w:rsid w:val="36D305E5"/>
    <w:rsid w:val="36EA7FF2"/>
    <w:rsid w:val="37017235"/>
    <w:rsid w:val="373D169F"/>
    <w:rsid w:val="374E143A"/>
    <w:rsid w:val="375145A6"/>
    <w:rsid w:val="37522485"/>
    <w:rsid w:val="37613C52"/>
    <w:rsid w:val="376F2885"/>
    <w:rsid w:val="377835C6"/>
    <w:rsid w:val="379E11AD"/>
    <w:rsid w:val="37C11509"/>
    <w:rsid w:val="37DD1744"/>
    <w:rsid w:val="37EF65FE"/>
    <w:rsid w:val="37F25243"/>
    <w:rsid w:val="380255AF"/>
    <w:rsid w:val="38333626"/>
    <w:rsid w:val="384E441A"/>
    <w:rsid w:val="38506C2F"/>
    <w:rsid w:val="38656421"/>
    <w:rsid w:val="38803B23"/>
    <w:rsid w:val="38877CF7"/>
    <w:rsid w:val="38961914"/>
    <w:rsid w:val="38AF3010"/>
    <w:rsid w:val="38CE1191"/>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57A41"/>
    <w:rsid w:val="399B3376"/>
    <w:rsid w:val="39A64195"/>
    <w:rsid w:val="39AF1465"/>
    <w:rsid w:val="39C04E20"/>
    <w:rsid w:val="39CA3463"/>
    <w:rsid w:val="39CF6662"/>
    <w:rsid w:val="39D22C1B"/>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37979"/>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CD54F2"/>
    <w:rsid w:val="3CD21950"/>
    <w:rsid w:val="3CDC27C9"/>
    <w:rsid w:val="3CE068D8"/>
    <w:rsid w:val="3CF21AEE"/>
    <w:rsid w:val="3D0A22D5"/>
    <w:rsid w:val="3D0B5F2D"/>
    <w:rsid w:val="3D114B5C"/>
    <w:rsid w:val="3D193B16"/>
    <w:rsid w:val="3D3F2810"/>
    <w:rsid w:val="3D484D37"/>
    <w:rsid w:val="3D495DF7"/>
    <w:rsid w:val="3D815243"/>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9E17B2"/>
    <w:rsid w:val="3EA83DA9"/>
    <w:rsid w:val="3EAC39B4"/>
    <w:rsid w:val="3EC11BF7"/>
    <w:rsid w:val="3EF169DA"/>
    <w:rsid w:val="3EF93089"/>
    <w:rsid w:val="3F0E4239"/>
    <w:rsid w:val="3F127531"/>
    <w:rsid w:val="3F207BB8"/>
    <w:rsid w:val="3F2B4E96"/>
    <w:rsid w:val="3F3441A5"/>
    <w:rsid w:val="3F3A7BF4"/>
    <w:rsid w:val="3F507482"/>
    <w:rsid w:val="3F5661ED"/>
    <w:rsid w:val="3F5C181E"/>
    <w:rsid w:val="3F6263C0"/>
    <w:rsid w:val="3F700303"/>
    <w:rsid w:val="3F755AF4"/>
    <w:rsid w:val="3F7A035D"/>
    <w:rsid w:val="3F7A4AAC"/>
    <w:rsid w:val="3F7F2AED"/>
    <w:rsid w:val="3F8568C6"/>
    <w:rsid w:val="3F895D56"/>
    <w:rsid w:val="3F900552"/>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50877"/>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0B5925"/>
    <w:rsid w:val="433E40E3"/>
    <w:rsid w:val="434C25F0"/>
    <w:rsid w:val="434D4AE8"/>
    <w:rsid w:val="43512BF1"/>
    <w:rsid w:val="435448CE"/>
    <w:rsid w:val="43572820"/>
    <w:rsid w:val="43633FF9"/>
    <w:rsid w:val="436B0A40"/>
    <w:rsid w:val="43715519"/>
    <w:rsid w:val="437B5074"/>
    <w:rsid w:val="437E400B"/>
    <w:rsid w:val="4391017A"/>
    <w:rsid w:val="43993698"/>
    <w:rsid w:val="43B31196"/>
    <w:rsid w:val="43BB720C"/>
    <w:rsid w:val="43BC335F"/>
    <w:rsid w:val="43C92B32"/>
    <w:rsid w:val="43E809C2"/>
    <w:rsid w:val="43EB7ACC"/>
    <w:rsid w:val="43FC1AB4"/>
    <w:rsid w:val="44185E43"/>
    <w:rsid w:val="442A1993"/>
    <w:rsid w:val="442F4C28"/>
    <w:rsid w:val="44402F95"/>
    <w:rsid w:val="44620D44"/>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A76DA9"/>
    <w:rsid w:val="46B05B1F"/>
    <w:rsid w:val="46B35E11"/>
    <w:rsid w:val="46BA27BC"/>
    <w:rsid w:val="46BC6770"/>
    <w:rsid w:val="46CF7E90"/>
    <w:rsid w:val="46D13DB8"/>
    <w:rsid w:val="46F26E20"/>
    <w:rsid w:val="472131B2"/>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50C37"/>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0F7519"/>
    <w:rsid w:val="4A21436D"/>
    <w:rsid w:val="4A263F01"/>
    <w:rsid w:val="4A4658CB"/>
    <w:rsid w:val="4A4C1CC9"/>
    <w:rsid w:val="4A7B2E14"/>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8E1EF5"/>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DF451F"/>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C96B8B"/>
    <w:rsid w:val="4FD65B1E"/>
    <w:rsid w:val="50051405"/>
    <w:rsid w:val="500832F8"/>
    <w:rsid w:val="501136F0"/>
    <w:rsid w:val="502256AD"/>
    <w:rsid w:val="504215FA"/>
    <w:rsid w:val="50451DB7"/>
    <w:rsid w:val="504B791D"/>
    <w:rsid w:val="50501952"/>
    <w:rsid w:val="505F2400"/>
    <w:rsid w:val="5080549C"/>
    <w:rsid w:val="508F60CA"/>
    <w:rsid w:val="50981162"/>
    <w:rsid w:val="50BC7B28"/>
    <w:rsid w:val="50C06385"/>
    <w:rsid w:val="50CE6418"/>
    <w:rsid w:val="50D40BCA"/>
    <w:rsid w:val="50D70E9D"/>
    <w:rsid w:val="50F35D93"/>
    <w:rsid w:val="50FA44CD"/>
    <w:rsid w:val="510036F5"/>
    <w:rsid w:val="5105303B"/>
    <w:rsid w:val="51114085"/>
    <w:rsid w:val="511216F1"/>
    <w:rsid w:val="512A1CE3"/>
    <w:rsid w:val="51347EA6"/>
    <w:rsid w:val="514516F1"/>
    <w:rsid w:val="51545650"/>
    <w:rsid w:val="516E7D73"/>
    <w:rsid w:val="5180209A"/>
    <w:rsid w:val="51897721"/>
    <w:rsid w:val="519667AD"/>
    <w:rsid w:val="51973EE4"/>
    <w:rsid w:val="51981AD3"/>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946FDD"/>
    <w:rsid w:val="52B07B8F"/>
    <w:rsid w:val="52E1213E"/>
    <w:rsid w:val="531545F9"/>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05D96"/>
    <w:rsid w:val="558114B8"/>
    <w:rsid w:val="55813D78"/>
    <w:rsid w:val="55910F8E"/>
    <w:rsid w:val="55AB500F"/>
    <w:rsid w:val="55B256C0"/>
    <w:rsid w:val="55C73811"/>
    <w:rsid w:val="55DF79E5"/>
    <w:rsid w:val="5611384C"/>
    <w:rsid w:val="561B28DD"/>
    <w:rsid w:val="561D05FE"/>
    <w:rsid w:val="5635520A"/>
    <w:rsid w:val="564846E1"/>
    <w:rsid w:val="565E65BE"/>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BD0D84"/>
    <w:rsid w:val="57E01724"/>
    <w:rsid w:val="57F307C1"/>
    <w:rsid w:val="57FA2BAA"/>
    <w:rsid w:val="57FA43F1"/>
    <w:rsid w:val="580162E5"/>
    <w:rsid w:val="58041F34"/>
    <w:rsid w:val="5815497A"/>
    <w:rsid w:val="581C6799"/>
    <w:rsid w:val="58327181"/>
    <w:rsid w:val="584A0444"/>
    <w:rsid w:val="585D149C"/>
    <w:rsid w:val="586621B6"/>
    <w:rsid w:val="589C683B"/>
    <w:rsid w:val="58B567BC"/>
    <w:rsid w:val="58B9588A"/>
    <w:rsid w:val="58C14572"/>
    <w:rsid w:val="58C73AD7"/>
    <w:rsid w:val="58DA2920"/>
    <w:rsid w:val="58F020A3"/>
    <w:rsid w:val="58FB332B"/>
    <w:rsid w:val="59540A82"/>
    <w:rsid w:val="59594578"/>
    <w:rsid w:val="59631729"/>
    <w:rsid w:val="598A7A09"/>
    <w:rsid w:val="59B33075"/>
    <w:rsid w:val="59B63D96"/>
    <w:rsid w:val="59C13ED2"/>
    <w:rsid w:val="59D61D59"/>
    <w:rsid w:val="59E6253A"/>
    <w:rsid w:val="59E7033F"/>
    <w:rsid w:val="59E8544B"/>
    <w:rsid w:val="5A0354F7"/>
    <w:rsid w:val="5A1E5359"/>
    <w:rsid w:val="5A291824"/>
    <w:rsid w:val="5A344ECC"/>
    <w:rsid w:val="5A390B46"/>
    <w:rsid w:val="5A492723"/>
    <w:rsid w:val="5A5D74BC"/>
    <w:rsid w:val="5A7C5C8F"/>
    <w:rsid w:val="5A8262B5"/>
    <w:rsid w:val="5A90403D"/>
    <w:rsid w:val="5A9D71ED"/>
    <w:rsid w:val="5AA2571A"/>
    <w:rsid w:val="5AB04EDE"/>
    <w:rsid w:val="5AC64C86"/>
    <w:rsid w:val="5ACF4A76"/>
    <w:rsid w:val="5AD51064"/>
    <w:rsid w:val="5ADE11E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17E91"/>
    <w:rsid w:val="5B893F6C"/>
    <w:rsid w:val="5B9F1B41"/>
    <w:rsid w:val="5BA37F28"/>
    <w:rsid w:val="5BAE24A8"/>
    <w:rsid w:val="5BB117B1"/>
    <w:rsid w:val="5BC51BF0"/>
    <w:rsid w:val="5BCF26D8"/>
    <w:rsid w:val="5C0B7CEE"/>
    <w:rsid w:val="5C44015E"/>
    <w:rsid w:val="5C4D41F0"/>
    <w:rsid w:val="5C554BC5"/>
    <w:rsid w:val="5C6D2099"/>
    <w:rsid w:val="5C7D3D43"/>
    <w:rsid w:val="5C882C4F"/>
    <w:rsid w:val="5C8962BA"/>
    <w:rsid w:val="5CA70B0A"/>
    <w:rsid w:val="5CBD523A"/>
    <w:rsid w:val="5CCD31A9"/>
    <w:rsid w:val="5CD2475E"/>
    <w:rsid w:val="5CF86CAE"/>
    <w:rsid w:val="5D0B3776"/>
    <w:rsid w:val="5D443020"/>
    <w:rsid w:val="5D47572E"/>
    <w:rsid w:val="5D485FD5"/>
    <w:rsid w:val="5D487E79"/>
    <w:rsid w:val="5D505D60"/>
    <w:rsid w:val="5D516A2D"/>
    <w:rsid w:val="5D65410C"/>
    <w:rsid w:val="5D6879E4"/>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CB35E7"/>
    <w:rsid w:val="5ED14E5B"/>
    <w:rsid w:val="5EF04B7B"/>
    <w:rsid w:val="5EFF3DE0"/>
    <w:rsid w:val="5F007B24"/>
    <w:rsid w:val="5F106EAF"/>
    <w:rsid w:val="5F283CA5"/>
    <w:rsid w:val="5F305F32"/>
    <w:rsid w:val="5F425A26"/>
    <w:rsid w:val="5F4E3CB5"/>
    <w:rsid w:val="5F7D1E64"/>
    <w:rsid w:val="5F9374D0"/>
    <w:rsid w:val="5FA8056B"/>
    <w:rsid w:val="5FDA48B5"/>
    <w:rsid w:val="5FE25384"/>
    <w:rsid w:val="5FE875BC"/>
    <w:rsid w:val="600808E3"/>
    <w:rsid w:val="60671E65"/>
    <w:rsid w:val="607562A7"/>
    <w:rsid w:val="60844C26"/>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7D251F"/>
    <w:rsid w:val="628762A4"/>
    <w:rsid w:val="628C2933"/>
    <w:rsid w:val="628C4312"/>
    <w:rsid w:val="62AB1D8D"/>
    <w:rsid w:val="62C42917"/>
    <w:rsid w:val="62D9309F"/>
    <w:rsid w:val="62DE5A92"/>
    <w:rsid w:val="62E73481"/>
    <w:rsid w:val="62ED42C9"/>
    <w:rsid w:val="62F0419C"/>
    <w:rsid w:val="62FA55D0"/>
    <w:rsid w:val="631A7E52"/>
    <w:rsid w:val="63234C0F"/>
    <w:rsid w:val="633657EA"/>
    <w:rsid w:val="634B4DB7"/>
    <w:rsid w:val="634C01CF"/>
    <w:rsid w:val="635665B8"/>
    <w:rsid w:val="63606A69"/>
    <w:rsid w:val="637A72AA"/>
    <w:rsid w:val="63A83A82"/>
    <w:rsid w:val="63AB687C"/>
    <w:rsid w:val="63B42F10"/>
    <w:rsid w:val="63CB3622"/>
    <w:rsid w:val="63D600F2"/>
    <w:rsid w:val="63E31E9D"/>
    <w:rsid w:val="640434E5"/>
    <w:rsid w:val="64185C22"/>
    <w:rsid w:val="643B275E"/>
    <w:rsid w:val="64411A38"/>
    <w:rsid w:val="64587275"/>
    <w:rsid w:val="646A5BED"/>
    <w:rsid w:val="649E3AB0"/>
    <w:rsid w:val="64C4485F"/>
    <w:rsid w:val="64DA076B"/>
    <w:rsid w:val="64E36924"/>
    <w:rsid w:val="64E9112D"/>
    <w:rsid w:val="65014155"/>
    <w:rsid w:val="65142B38"/>
    <w:rsid w:val="6520621E"/>
    <w:rsid w:val="65366C3B"/>
    <w:rsid w:val="653D68E6"/>
    <w:rsid w:val="65630AA9"/>
    <w:rsid w:val="656A3683"/>
    <w:rsid w:val="656A7144"/>
    <w:rsid w:val="657B048C"/>
    <w:rsid w:val="657F70B1"/>
    <w:rsid w:val="65865107"/>
    <w:rsid w:val="659242EE"/>
    <w:rsid w:val="65B0069A"/>
    <w:rsid w:val="65B61ED7"/>
    <w:rsid w:val="65E9533F"/>
    <w:rsid w:val="65F76683"/>
    <w:rsid w:val="65F93869"/>
    <w:rsid w:val="65FB74B2"/>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06B94"/>
    <w:rsid w:val="67E55296"/>
    <w:rsid w:val="67E87F7F"/>
    <w:rsid w:val="67FF6733"/>
    <w:rsid w:val="68080A2F"/>
    <w:rsid w:val="681E7CFD"/>
    <w:rsid w:val="68221B5F"/>
    <w:rsid w:val="682633F9"/>
    <w:rsid w:val="68270406"/>
    <w:rsid w:val="68273145"/>
    <w:rsid w:val="682A5BF7"/>
    <w:rsid w:val="683E7CBF"/>
    <w:rsid w:val="68535738"/>
    <w:rsid w:val="68721156"/>
    <w:rsid w:val="687C423F"/>
    <w:rsid w:val="68C25D28"/>
    <w:rsid w:val="68D033F3"/>
    <w:rsid w:val="68D06E03"/>
    <w:rsid w:val="68D24C0A"/>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8144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CF070AE"/>
    <w:rsid w:val="6D000FC4"/>
    <w:rsid w:val="6D031778"/>
    <w:rsid w:val="6D08005D"/>
    <w:rsid w:val="6D0A7C83"/>
    <w:rsid w:val="6D106FB7"/>
    <w:rsid w:val="6D1C3F9C"/>
    <w:rsid w:val="6D2B7848"/>
    <w:rsid w:val="6D3E18A8"/>
    <w:rsid w:val="6D4A67A4"/>
    <w:rsid w:val="6D517127"/>
    <w:rsid w:val="6D5D5CC1"/>
    <w:rsid w:val="6D6A3304"/>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01FA3"/>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278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1D35A73"/>
    <w:rsid w:val="72005AE6"/>
    <w:rsid w:val="72020DA9"/>
    <w:rsid w:val="72104AC2"/>
    <w:rsid w:val="72124041"/>
    <w:rsid w:val="72135B21"/>
    <w:rsid w:val="721601E1"/>
    <w:rsid w:val="72257A70"/>
    <w:rsid w:val="72337620"/>
    <w:rsid w:val="723B254A"/>
    <w:rsid w:val="723F5BDB"/>
    <w:rsid w:val="72570EA7"/>
    <w:rsid w:val="726C2611"/>
    <w:rsid w:val="72726B56"/>
    <w:rsid w:val="727355E2"/>
    <w:rsid w:val="72A11E23"/>
    <w:rsid w:val="72A322A5"/>
    <w:rsid w:val="72AF0917"/>
    <w:rsid w:val="72B3210B"/>
    <w:rsid w:val="72CF7ADB"/>
    <w:rsid w:val="72E75951"/>
    <w:rsid w:val="72E91B02"/>
    <w:rsid w:val="72F9284C"/>
    <w:rsid w:val="72FD3CB3"/>
    <w:rsid w:val="72FF3233"/>
    <w:rsid w:val="731927E5"/>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642285"/>
    <w:rsid w:val="7497088D"/>
    <w:rsid w:val="74A30572"/>
    <w:rsid w:val="74C73FE3"/>
    <w:rsid w:val="74DC5A55"/>
    <w:rsid w:val="74E63482"/>
    <w:rsid w:val="74E71A82"/>
    <w:rsid w:val="74F64E3F"/>
    <w:rsid w:val="74FD1B30"/>
    <w:rsid w:val="750125CC"/>
    <w:rsid w:val="751D0E17"/>
    <w:rsid w:val="754A05DC"/>
    <w:rsid w:val="755F3F75"/>
    <w:rsid w:val="75942A40"/>
    <w:rsid w:val="75A023F2"/>
    <w:rsid w:val="75C5780F"/>
    <w:rsid w:val="75CE4899"/>
    <w:rsid w:val="75FB2A56"/>
    <w:rsid w:val="75FF18EA"/>
    <w:rsid w:val="76023351"/>
    <w:rsid w:val="761730DD"/>
    <w:rsid w:val="762514F1"/>
    <w:rsid w:val="762C5C47"/>
    <w:rsid w:val="764F4EB0"/>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6E81A30"/>
    <w:rsid w:val="77067FBD"/>
    <w:rsid w:val="771672D4"/>
    <w:rsid w:val="771A06F0"/>
    <w:rsid w:val="77236D53"/>
    <w:rsid w:val="772A5AB9"/>
    <w:rsid w:val="774D3DC3"/>
    <w:rsid w:val="776A22E2"/>
    <w:rsid w:val="776D6580"/>
    <w:rsid w:val="778C04E9"/>
    <w:rsid w:val="778F2765"/>
    <w:rsid w:val="77B360B7"/>
    <w:rsid w:val="77E22291"/>
    <w:rsid w:val="7801465A"/>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266805"/>
    <w:rsid w:val="7A3B4E23"/>
    <w:rsid w:val="7A3E3C86"/>
    <w:rsid w:val="7A421F6B"/>
    <w:rsid w:val="7A985BAD"/>
    <w:rsid w:val="7A9C129D"/>
    <w:rsid w:val="7AA240DD"/>
    <w:rsid w:val="7AAC617C"/>
    <w:rsid w:val="7ABB0835"/>
    <w:rsid w:val="7ABE7A74"/>
    <w:rsid w:val="7AC3193E"/>
    <w:rsid w:val="7AD825ED"/>
    <w:rsid w:val="7AE7522B"/>
    <w:rsid w:val="7AF11E4A"/>
    <w:rsid w:val="7AFC756B"/>
    <w:rsid w:val="7B0A616D"/>
    <w:rsid w:val="7B1530FA"/>
    <w:rsid w:val="7B227F87"/>
    <w:rsid w:val="7B6A65F9"/>
    <w:rsid w:val="7B73525D"/>
    <w:rsid w:val="7B754167"/>
    <w:rsid w:val="7B7913C9"/>
    <w:rsid w:val="7B841502"/>
    <w:rsid w:val="7B856B69"/>
    <w:rsid w:val="7B924793"/>
    <w:rsid w:val="7BA51FAA"/>
    <w:rsid w:val="7BA71431"/>
    <w:rsid w:val="7BAB65F0"/>
    <w:rsid w:val="7BC5601A"/>
    <w:rsid w:val="7BD40093"/>
    <w:rsid w:val="7BE067C0"/>
    <w:rsid w:val="7BF7355E"/>
    <w:rsid w:val="7C041716"/>
    <w:rsid w:val="7C0F6F8D"/>
    <w:rsid w:val="7C1832E2"/>
    <w:rsid w:val="7C2C3168"/>
    <w:rsid w:val="7C60764A"/>
    <w:rsid w:val="7C7F077B"/>
    <w:rsid w:val="7C9A2C55"/>
    <w:rsid w:val="7CA103C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8C5914"/>
    <w:rsid w:val="7D9828AA"/>
    <w:rsid w:val="7DA15DD8"/>
    <w:rsid w:val="7DA54E7B"/>
    <w:rsid w:val="7DAD4B1E"/>
    <w:rsid w:val="7DAF1D85"/>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EE56CF"/>
    <w:rsid w:val="7FF352B9"/>
    <w:rsid w:val="FFFEE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5">
    <w:name w:val="heading 2"/>
    <w:basedOn w:val="1"/>
    <w:next w:val="1"/>
    <w:link w:val="31"/>
    <w:qFormat/>
    <w:uiPriority w:val="0"/>
    <w:pPr>
      <w:keepNext/>
      <w:keepLines/>
      <w:numPr>
        <w:ilvl w:val="0"/>
        <w:numId w:val="2"/>
      </w:numPr>
      <w:spacing w:line="360" w:lineRule="auto"/>
      <w:outlineLvl w:val="1"/>
    </w:pPr>
    <w:rPr>
      <w:rFonts w:ascii="Arial" w:hAnsi="Arial"/>
      <w:b/>
      <w:bCs/>
      <w:sz w:val="28"/>
      <w:szCs w:val="32"/>
    </w:rPr>
  </w:style>
  <w:style w:type="paragraph" w:styleId="6">
    <w:name w:val="heading 3"/>
    <w:basedOn w:val="1"/>
    <w:next w:val="1"/>
    <w:qFormat/>
    <w:uiPriority w:val="0"/>
    <w:pPr>
      <w:keepNext/>
      <w:keepLines/>
      <w:outlineLvl w:val="2"/>
    </w:pPr>
    <w:rPr>
      <w:rFonts w:ascii="宋体" w:hAnsi="宋体" w:eastAsia="黑体"/>
      <w:bCs/>
      <w:sz w:val="24"/>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3"/>
    <w:basedOn w:val="1"/>
    <w:qFormat/>
    <w:uiPriority w:val="0"/>
    <w:pPr>
      <w:spacing w:beforeLines="50"/>
    </w:pPr>
    <w:rPr>
      <w:rFonts w:ascii="宋体" w:hAnsi="宋体"/>
      <w:szCs w:val="20"/>
    </w:rPr>
  </w:style>
  <w:style w:type="paragraph" w:styleId="11">
    <w:name w:val="Body Text Indent"/>
    <w:basedOn w:val="1"/>
    <w:next w:val="12"/>
    <w:qFormat/>
    <w:uiPriority w:val="0"/>
    <w:pPr>
      <w:spacing w:after="120"/>
      <w:ind w:left="420" w:leftChars="200"/>
    </w:pPr>
  </w:style>
  <w:style w:type="paragraph" w:styleId="12">
    <w:name w:val="envelope return"/>
    <w:basedOn w:val="1"/>
    <w:unhideWhenUsed/>
    <w:qFormat/>
    <w:uiPriority w:val="99"/>
    <w:pPr>
      <w:snapToGrid w:val="0"/>
      <w:ind w:firstLine="200"/>
    </w:pPr>
    <w:rPr>
      <w:rFonts w:ascii="Arial" w:hAnsi="Arial" w:cs="Arial"/>
      <w:szCs w:val="20"/>
    </w:rPr>
  </w:style>
  <w:style w:type="paragraph" w:styleId="13">
    <w:name w:val="Plain Text"/>
    <w:basedOn w:val="1"/>
    <w:qFormat/>
    <w:uiPriority w:val="0"/>
    <w:rPr>
      <w:rFonts w:ascii="宋体" w:hAnsi="Courier New"/>
      <w:szCs w:val="20"/>
    </w:rPr>
  </w:style>
  <w:style w:type="paragraph" w:styleId="14">
    <w:name w:val="Body Text Indent 2"/>
    <w:basedOn w:val="1"/>
    <w:qFormat/>
    <w:uiPriority w:val="0"/>
    <w:pPr>
      <w:spacing w:after="120" w:line="480" w:lineRule="auto"/>
      <w:ind w:left="420" w:leftChars="200"/>
    </w:p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before="120" w:after="120"/>
      <w:jc w:val="left"/>
    </w:pPr>
    <w:rPr>
      <w:rFonts w:cs="Calibri"/>
      <w:b/>
      <w:bCs/>
      <w:caps/>
      <w:sz w:val="20"/>
      <w:szCs w:val="20"/>
    </w:rPr>
  </w:style>
  <w:style w:type="paragraph" w:styleId="18">
    <w:name w:val="List"/>
    <w:basedOn w:val="1"/>
    <w:qFormat/>
    <w:uiPriority w:val="0"/>
    <w:pPr>
      <w:ind w:left="200" w:hanging="200" w:hangingChars="200"/>
    </w:pPr>
    <w:rPr>
      <w:rFonts w:ascii="Calibri" w:hAnsi="Calibri"/>
      <w:szCs w:val="22"/>
    </w:rPr>
  </w:style>
  <w:style w:type="paragraph" w:styleId="19">
    <w:name w:val="footnote text"/>
    <w:basedOn w:val="1"/>
    <w:unhideWhenUsed/>
    <w:qFormat/>
    <w:uiPriority w:val="0"/>
    <w:pPr>
      <w:snapToGrid w:val="0"/>
      <w:jc w:val="left"/>
    </w:pPr>
    <w:rPr>
      <w:sz w:val="18"/>
      <w:szCs w:val="18"/>
    </w:rPr>
  </w:style>
  <w:style w:type="paragraph" w:styleId="20">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styleId="21">
    <w:name w:val="index 1"/>
    <w:basedOn w:val="1"/>
    <w:next w:val="1"/>
    <w:semiHidden/>
    <w:qFormat/>
    <w:uiPriority w:val="0"/>
    <w:pPr>
      <w:spacing w:line="220" w:lineRule="exact"/>
      <w:jc w:val="center"/>
    </w:pPr>
    <w:rPr>
      <w:rFonts w:ascii="仿宋_GB2312" w:eastAsia="仿宋_GB2312"/>
      <w:szCs w:val="21"/>
    </w:rPr>
  </w:style>
  <w:style w:type="paragraph" w:styleId="22">
    <w:name w:val="Title"/>
    <w:basedOn w:val="1"/>
    <w:next w:val="1"/>
    <w:qFormat/>
    <w:uiPriority w:val="10"/>
    <w:pPr>
      <w:spacing w:before="240" w:after="60"/>
      <w:jc w:val="center"/>
      <w:outlineLvl w:val="0"/>
    </w:pPr>
    <w:rPr>
      <w:rFonts w:ascii="Calibri Light" w:hAnsi="Calibri Light" w:eastAsia="宋体" w:cs="Times New Roman"/>
      <w:b/>
      <w:bCs/>
      <w:sz w:val="32"/>
      <w:szCs w:val="32"/>
    </w:rPr>
  </w:style>
  <w:style w:type="paragraph" w:styleId="23">
    <w:name w:val="Body Text First Indent"/>
    <w:basedOn w:val="2"/>
    <w:qFormat/>
    <w:uiPriority w:val="0"/>
    <w:pPr>
      <w:ind w:firstLine="420" w:firstLineChars="100"/>
    </w:pPr>
  </w:style>
  <w:style w:type="paragraph" w:styleId="24">
    <w:name w:val="Body Text First Indent 2"/>
    <w:basedOn w:val="11"/>
    <w:next w:val="18"/>
    <w:unhideWhenUsed/>
    <w:qFormat/>
    <w:uiPriority w:val="99"/>
    <w:pPr>
      <w:ind w:firstLine="420" w:firstLineChars="200"/>
    </w:pPr>
    <w:rPr>
      <w:szCs w:val="22"/>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annotation reference"/>
    <w:qFormat/>
    <w:uiPriority w:val="0"/>
    <w:rPr>
      <w:sz w:val="21"/>
      <w:szCs w:val="21"/>
    </w:rPr>
  </w:style>
  <w:style w:type="character" w:styleId="30">
    <w:name w:val="footnote reference"/>
    <w:qFormat/>
    <w:uiPriority w:val="0"/>
    <w:rPr>
      <w:vertAlign w:val="superscript"/>
    </w:rPr>
  </w:style>
  <w:style w:type="character" w:customStyle="1" w:styleId="31">
    <w:name w:val="标题 2 字符"/>
    <w:link w:val="5"/>
    <w:qFormat/>
    <w:uiPriority w:val="0"/>
    <w:rPr>
      <w:rFonts w:ascii="Arial" w:hAnsi="Arial"/>
      <w:b/>
      <w:bCs/>
      <w:sz w:val="28"/>
      <w:szCs w:val="32"/>
    </w:rPr>
  </w:style>
  <w:style w:type="paragraph" w:customStyle="1" w:styleId="32">
    <w:name w:val="目录 71"/>
    <w:basedOn w:val="1"/>
    <w:next w:val="1"/>
    <w:qFormat/>
    <w:uiPriority w:val="0"/>
    <w:pPr>
      <w:ind w:left="2520"/>
    </w:pPr>
  </w:style>
  <w:style w:type="paragraph" w:customStyle="1" w:styleId="33">
    <w:name w:val="表格"/>
    <w:basedOn w:val="1"/>
    <w:qFormat/>
    <w:uiPriority w:val="0"/>
    <w:pPr>
      <w:textAlignment w:val="center"/>
    </w:pPr>
    <w:rPr>
      <w:rFonts w:ascii="华文细黑" w:hAnsi="华文细黑"/>
      <w:kern w:val="0"/>
      <w:szCs w:val="20"/>
    </w:rPr>
  </w:style>
  <w:style w:type="paragraph" w:customStyle="1" w:styleId="34">
    <w:name w:val="正文 题目"/>
    <w:basedOn w:val="1"/>
    <w:qFormat/>
    <w:uiPriority w:val="0"/>
    <w:pPr>
      <w:jc w:val="center"/>
    </w:pPr>
    <w:rPr>
      <w:rFonts w:ascii="黑体" w:hAnsi="黑体" w:eastAsia="黑体"/>
      <w:sz w:val="28"/>
    </w:rPr>
  </w:style>
  <w:style w:type="paragraph" w:customStyle="1" w:styleId="35">
    <w:name w:val="列出段落1"/>
    <w:basedOn w:val="1"/>
    <w:qFormat/>
    <w:uiPriority w:val="99"/>
    <w:rPr>
      <w:rFonts w:ascii="Times New Roman" w:hAnsi="Times New Roman"/>
    </w:rPr>
  </w:style>
  <w:style w:type="paragraph" w:customStyle="1" w:styleId="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7">
    <w:name w:val="WPSOffice手动目录 1"/>
    <w:qFormat/>
    <w:uiPriority w:val="0"/>
    <w:rPr>
      <w:rFonts w:ascii="Calibri" w:hAnsi="Calibri" w:eastAsia="宋体" w:cs="Times New Roman"/>
      <w:lang w:val="en-US" w:eastAsia="zh-CN" w:bidi="ar-SA"/>
    </w:rPr>
  </w:style>
  <w:style w:type="paragraph" w:customStyle="1" w:styleId="38">
    <w:name w:val="WPSOffice手动目录 2"/>
    <w:qFormat/>
    <w:uiPriority w:val="0"/>
    <w:pPr>
      <w:ind w:left="200" w:leftChars="200"/>
    </w:pPr>
    <w:rPr>
      <w:rFonts w:ascii="Calibri" w:hAnsi="Calibri" w:eastAsia="宋体" w:cs="Times New Roman"/>
      <w:lang w:val="en-US" w:eastAsia="zh-CN" w:bidi="ar-SA"/>
    </w:rPr>
  </w:style>
  <w:style w:type="character" w:customStyle="1" w:styleId="39">
    <w:name w:val="font21"/>
    <w:basedOn w:val="27"/>
    <w:qFormat/>
    <w:uiPriority w:val="0"/>
    <w:rPr>
      <w:rFonts w:hint="eastAsia" w:ascii="宋体" w:hAnsi="宋体" w:eastAsia="宋体" w:cs="宋体"/>
      <w:color w:val="000000"/>
      <w:sz w:val="24"/>
      <w:szCs w:val="24"/>
      <w:u w:val="none"/>
    </w:rPr>
  </w:style>
  <w:style w:type="character" w:customStyle="1" w:styleId="40">
    <w:name w:val="font01"/>
    <w:basedOn w:val="27"/>
    <w:qFormat/>
    <w:uiPriority w:val="0"/>
    <w:rPr>
      <w:rFonts w:hint="default" w:ascii="Times New Roman" w:hAnsi="Times New Roman" w:cs="Times New Roman"/>
      <w:color w:val="000000"/>
      <w:sz w:val="24"/>
      <w:szCs w:val="24"/>
      <w:u w:val="none"/>
    </w:rPr>
  </w:style>
  <w:style w:type="character" w:customStyle="1" w:styleId="41">
    <w:name w:val="font11"/>
    <w:basedOn w:val="27"/>
    <w:qFormat/>
    <w:uiPriority w:val="0"/>
    <w:rPr>
      <w:rFonts w:hint="default" w:ascii="Times New Roman" w:hAnsi="Times New Roman" w:cs="Times New Roman"/>
      <w:color w:val="000000"/>
      <w:sz w:val="20"/>
      <w:szCs w:val="20"/>
      <w:u w:val="none"/>
    </w:rPr>
  </w:style>
  <w:style w:type="character" w:customStyle="1" w:styleId="42">
    <w:name w:val="font31"/>
    <w:basedOn w:val="27"/>
    <w:qFormat/>
    <w:uiPriority w:val="0"/>
    <w:rPr>
      <w:rFonts w:hint="eastAsia" w:ascii="宋体" w:hAnsi="宋体" w:eastAsia="宋体" w:cs="宋体"/>
      <w:color w:val="000000"/>
      <w:sz w:val="20"/>
      <w:szCs w:val="20"/>
      <w:u w:val="none"/>
    </w:rPr>
  </w:style>
  <w:style w:type="paragraph" w:styleId="43">
    <w:name w:val="List Paragraph"/>
    <w:basedOn w:val="1"/>
    <w:qFormat/>
    <w:uiPriority w:val="99"/>
    <w:pPr>
      <w:ind w:firstLine="420" w:firstLineChars="200"/>
    </w:pPr>
  </w:style>
  <w:style w:type="paragraph" w:customStyle="1" w:styleId="44">
    <w:name w:val="YD3"/>
    <w:basedOn w:val="1"/>
    <w:qFormat/>
    <w:uiPriority w:val="0"/>
    <w:rPr>
      <w:szCs w:val="22"/>
    </w:rPr>
  </w:style>
  <w:style w:type="paragraph" w:customStyle="1" w:styleId="45">
    <w:name w:val="ÕýÎÄ_0"/>
    <w:basedOn w:val="1"/>
    <w:qFormat/>
    <w:uiPriority w:val="0"/>
    <w:rPr>
      <w:rFonts w:ascii="宋体" w:hAnsi="宋体" w:eastAsia="宋体" w:cs="Times New Roman"/>
      <w:kern w:val="0"/>
      <w:szCs w:val="21"/>
    </w:rPr>
  </w:style>
  <w:style w:type="paragraph" w:customStyle="1" w:styleId="46">
    <w:name w:val="Heading #1|1"/>
    <w:qFormat/>
    <w:uiPriority w:val="0"/>
    <w:pPr>
      <w:widowControl w:val="0"/>
      <w:shd w:val="clear" w:color="auto" w:fill="auto"/>
      <w:spacing w:after="230"/>
      <w:jc w:val="both"/>
      <w:outlineLvl w:val="0"/>
    </w:pPr>
    <w:rPr>
      <w:rFonts w:ascii="宋体" w:hAnsi="宋体" w:eastAsia="宋体" w:cs="宋体"/>
      <w:kern w:val="2"/>
      <w:sz w:val="34"/>
      <w:szCs w:val="3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16733</Words>
  <Characters>17471</Characters>
  <Lines>209</Lines>
  <Paragraphs>59</Paragraphs>
  <TotalTime>101</TotalTime>
  <ScaleCrop>false</ScaleCrop>
  <LinksUpToDate>false</LinksUpToDate>
  <CharactersWithSpaces>19239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2022-11-22T18:34:00Z</dcterms:created>
  <dc:creator>huajie</dc:creator>
  <cp:lastModifiedBy>Windows</cp:lastModifiedBy>
  <cp:lastPrinted>2023-04-21T00:58:00Z</cp:lastPrinted>
  <dcterms:modified xsi:type="dcterms:W3CDTF">2023-06-01T07:52:43Z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8FF60037B93A40749A63103633C8BAB7_13</vt:lpwstr>
  </property>
  <property fmtid="{D5CDD505-2E9C-101B-9397-08002B2CF9AE}" pid="4" name="commondata">
    <vt:lpwstr>eyJoZGlkIjoiYzgxOTMyMWQ3ZmNkMzE2MDY3OGUwYjIyYzM1NGM4NTcifQ==</vt:lpwstr>
  </property>
</Properties>
</file>